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color w:val="000000"/>
        </w:rPr>
      </w:pPr>
      <w:r>
        <w:rPr>
          <w:rFonts w:hint="eastAsia" w:ascii="黑体" w:hAnsi="黑体" w:eastAsia="黑体" w:cs="黑体"/>
          <w:color w:val="000000"/>
        </w:rPr>
        <w:t>附件</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省住建厅行政审批窗口及邮寄服务具体联系方式</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7" w:type="dxa"/>
          <w:left w:w="17" w:type="dxa"/>
          <w:bottom w:w="17" w:type="dxa"/>
          <w:right w:w="17" w:type="dxa"/>
        </w:tblCellMar>
      </w:tblPr>
      <w:tblGrid>
        <w:gridCol w:w="645"/>
        <w:gridCol w:w="1020"/>
        <w:gridCol w:w="3855"/>
        <w:gridCol w:w="2490"/>
        <w:gridCol w:w="1890"/>
        <w:gridCol w:w="2514"/>
        <w:gridCol w:w="14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tblHeader/>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审批服务</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事项</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网上申报途径</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具体情形</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需提交的</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书面材料</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窗口服务及</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邮寄地址</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13890" w:type="dxa"/>
            <w:gridSpan w:val="7"/>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黑体" w:hAnsi="黑体" w:eastAsia="黑体" w:cs="黑体"/>
                <w:i w:val="0"/>
                <w:color w:val="000000"/>
                <w:kern w:val="0"/>
                <w:sz w:val="24"/>
                <w:szCs w:val="24"/>
                <w:u w:val="none"/>
                <w:lang w:val="en-US" w:eastAsia="zh-CN" w:bidi="ar"/>
              </w:rPr>
              <w:t>厅批企业资质事项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867" w:hRule="atLeast"/>
          <w:jc w:val="center"/>
        </w:trPr>
        <w:tc>
          <w:tcPr>
            <w:tcW w:w="64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20"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建筑业</w:t>
            </w:r>
          </w:p>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企业资质核准</w:t>
            </w:r>
          </w:p>
        </w:tc>
        <w:tc>
          <w:tcPr>
            <w:tcW w:w="385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“山西政务服务平台”—住建厅—建筑业企业资质核准http://www.sxzwfw.gov.cn</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首次、增项、延续、注销、资质证书变更等</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太原市坞城南路50号山西省政务服务中心12号窗口</w:t>
            </w:r>
          </w:p>
        </w:tc>
        <w:tc>
          <w:tcPr>
            <w:tcW w:w="1476"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442"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升级</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部分升级情形可由企业根据实际情况选择上传附件材料或者提交书面附件材料</w:t>
            </w:r>
          </w:p>
        </w:tc>
        <w:tc>
          <w:tcPr>
            <w:tcW w:w="2514"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476"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009"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需征求交通水利通信等专业部门意见的建筑业企业资质申请</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Style w:val="5"/>
                <w:rFonts w:hint="eastAsia" w:ascii="仿宋_GB2312" w:hAnsi="仿宋_GB2312" w:eastAsia="仿宋_GB2312" w:cs="仿宋_GB2312"/>
                <w:color w:val="000000"/>
                <w:sz w:val="24"/>
                <w:szCs w:val="24"/>
                <w:lang w:val="en-US" w:eastAsia="zh-CN" w:bidi="ar"/>
              </w:rPr>
              <w:t>申请表一式两份、附件材料</w:t>
            </w:r>
            <w:r>
              <w:rPr>
                <w:rStyle w:val="6"/>
                <w:rFonts w:hint="eastAsia" w:ascii="仿宋_GB2312" w:hAnsi="仿宋_GB2312" w:eastAsia="仿宋_GB2312" w:cs="仿宋_GB2312"/>
                <w:color w:val="000000"/>
                <w:sz w:val="24"/>
                <w:szCs w:val="24"/>
                <w:lang w:val="en-US" w:eastAsia="zh-CN" w:bidi="ar"/>
              </w:rPr>
              <w:t>两套</w:t>
            </w:r>
          </w:p>
        </w:tc>
        <w:tc>
          <w:tcPr>
            <w:tcW w:w="2514"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476"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611"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发生重组、合并、分立等情况后的资质核定</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申请表一份、附件材料一套</w:t>
            </w:r>
          </w:p>
        </w:tc>
        <w:tc>
          <w:tcPr>
            <w:tcW w:w="2514"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476"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002" w:hRule="atLeast"/>
          <w:jc w:val="center"/>
        </w:trPr>
        <w:tc>
          <w:tcPr>
            <w:tcW w:w="64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20"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乙级、丙级工程监理企业资质核准</w:t>
            </w:r>
          </w:p>
        </w:tc>
        <w:tc>
          <w:tcPr>
            <w:tcW w:w="385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“山西政务服务平台”—住建厅—乙级、丙级工程监理企业资质核准http://www.sxzwfw.gov.cn</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首次、增项、升级、延续、资质证书</w:t>
            </w:r>
            <w:r>
              <w:rPr>
                <w:rFonts w:hint="eastAsia" w:ascii="仿宋_GB2312" w:hAnsi="仿宋_GB2312" w:eastAsia="仿宋_GB2312" w:cs="仿宋_GB2312"/>
                <w:i w:val="0"/>
                <w:color w:val="000000"/>
                <w:kern w:val="0"/>
                <w:sz w:val="24"/>
                <w:szCs w:val="24"/>
                <w:highlight w:val="none"/>
                <w:u w:val="none"/>
                <w:lang w:val="en-US" w:eastAsia="zh-CN" w:bidi="ar"/>
              </w:rPr>
              <w:t>变更、注销等</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太原市坞城南路50号山西省政务服务中心12号窗口</w:t>
            </w:r>
          </w:p>
        </w:tc>
        <w:tc>
          <w:tcPr>
            <w:tcW w:w="1476"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79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发生重组、合并、分立等情况后的资质核定</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申请表一份、附件材料一套</w:t>
            </w:r>
          </w:p>
        </w:tc>
        <w:tc>
          <w:tcPr>
            <w:tcW w:w="2514"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476"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069" w:hRule="atLeast"/>
          <w:jc w:val="center"/>
        </w:trPr>
        <w:tc>
          <w:tcPr>
            <w:tcW w:w="64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020"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乙级及以下建设工程勘察、设计企业资质核准</w:t>
            </w:r>
          </w:p>
        </w:tc>
        <w:tc>
          <w:tcPr>
            <w:tcW w:w="385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“山西政务服务平台”—住建厅—乙级及以下建设工程勘察、设计企业资质核准</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http://www.sxzwfw.gov.cn</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首次、增项、升级、延续、资质证书</w:t>
            </w:r>
            <w:r>
              <w:rPr>
                <w:rFonts w:hint="eastAsia" w:ascii="仿宋_GB2312" w:hAnsi="仿宋_GB2312" w:eastAsia="仿宋_GB2312" w:cs="仿宋_GB2312"/>
                <w:i w:val="0"/>
                <w:color w:val="000000"/>
                <w:kern w:val="0"/>
                <w:sz w:val="24"/>
                <w:szCs w:val="24"/>
                <w:highlight w:val="none"/>
                <w:u w:val="none"/>
                <w:lang w:val="en-US" w:eastAsia="zh-CN" w:bidi="ar"/>
              </w:rPr>
              <w:t>变更</w:t>
            </w:r>
            <w:r>
              <w:rPr>
                <w:rFonts w:hint="eastAsia" w:ascii="仿宋_GB2312" w:hAnsi="仿宋_GB2312" w:eastAsia="仿宋_GB2312" w:cs="仿宋_GB2312"/>
                <w:i w:val="0"/>
                <w:color w:val="000000"/>
                <w:kern w:val="0"/>
                <w:sz w:val="24"/>
                <w:szCs w:val="24"/>
                <w:u w:val="none"/>
                <w:lang w:val="en-US" w:eastAsia="zh-CN" w:bidi="ar"/>
              </w:rPr>
              <w:t>、注销等</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太原市坞城南路50号山西省政务服务中心12号窗口</w:t>
            </w:r>
          </w:p>
        </w:tc>
        <w:tc>
          <w:tcPr>
            <w:tcW w:w="1476"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92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需征求交通水利通信等专业部门意见的工程设计企业资质申请</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Style w:val="5"/>
                <w:rFonts w:hint="eastAsia" w:ascii="仿宋_GB2312" w:hAnsi="仿宋_GB2312" w:eastAsia="仿宋_GB2312" w:cs="仿宋_GB2312"/>
                <w:color w:val="000000"/>
                <w:sz w:val="24"/>
                <w:szCs w:val="24"/>
                <w:lang w:val="en-US" w:eastAsia="zh-CN" w:bidi="ar"/>
              </w:rPr>
              <w:t>申请表一式两份、附件材料</w:t>
            </w:r>
            <w:r>
              <w:rPr>
                <w:rStyle w:val="6"/>
                <w:rFonts w:hint="eastAsia" w:ascii="仿宋_GB2312" w:hAnsi="仿宋_GB2312" w:eastAsia="仿宋_GB2312" w:cs="仿宋_GB2312"/>
                <w:color w:val="000000"/>
                <w:sz w:val="24"/>
                <w:szCs w:val="24"/>
                <w:lang w:val="en-US" w:eastAsia="zh-CN" w:bidi="ar"/>
              </w:rPr>
              <w:t>两套</w:t>
            </w:r>
          </w:p>
        </w:tc>
        <w:tc>
          <w:tcPr>
            <w:tcW w:w="2514"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476"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623"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发生重组、合并、分立等情况后的资质核定</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申请表一份、附件材料一套</w:t>
            </w:r>
          </w:p>
        </w:tc>
        <w:tc>
          <w:tcPr>
            <w:tcW w:w="2514"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476"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02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建筑施工企业安全生产许可证核发</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“山西政务服务平台”—住建厅—建筑施工企业安全生产许可证核发http://www.sxzwfw.gov.cn</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首次、延续、证书变更、注销等</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太原市坞城南路50号山西省政务服务中心13号窗口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05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工程质量检测机构资质核准</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“山西政务服务平台”—住建厅—工程质量检测机构资质核准http://www.sxzwfw.gov.cn</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首次、增项、升级、延续、资质证书变更、注销等</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太原市坞城南路50号山西省政务服务中心13号窗口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177"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二级、三级房地产开发企业资质核准</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“山西政务服务平台”—住建厅—房地产开发企业资质核准—二级、三级房地产开发企业资质核准http://www.sxzwfw.gov.cn</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升级、延续、资质证书变更、注销等</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太原市坞城南路50号山西省政务服务中心13号窗口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工程造价咨询企业资质核准</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“山西政务服务平台”—住建厅—工程造价咨询企业资质核准http://www.sxzwfw.gov.cn</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首次、升级、延续、资质证书变更、注销等</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太原市坞城南路50号山西省政务服务中心13号窗口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shd w:val="clear" w:color="auto" w:fill="auto"/>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020" w:type="dxa"/>
            <w:shd w:val="clear" w:color="auto" w:fill="auto"/>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房地产估价机构备案</w:t>
            </w:r>
          </w:p>
        </w:tc>
        <w:tc>
          <w:tcPr>
            <w:tcW w:w="3855" w:type="dxa"/>
            <w:shd w:val="clear" w:color="auto" w:fill="FFFFFF"/>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“山西政务服务平台”—住建厅—房地产估价机构备案http://www.sxzwfw.gov.cn</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首次、升级、延续、备案证书变更、注销等</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太原市坞城南路50号山西省政务服务中心13号窗口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13890" w:type="dxa"/>
            <w:gridSpan w:val="7"/>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黑体" w:hAnsi="黑体" w:eastAsia="黑体" w:cs="黑体"/>
                <w:i w:val="0"/>
                <w:color w:val="000000"/>
                <w:kern w:val="0"/>
                <w:sz w:val="24"/>
                <w:szCs w:val="24"/>
                <w:u w:val="none"/>
                <w:lang w:val="en-US" w:eastAsia="zh-CN" w:bidi="ar"/>
              </w:rPr>
              <w:t>厅批个人资格事项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429"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二级建筑师执业资格注册</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全国一级注册建筑师、注册工程师管理信息系统http://operation.ccir.com.cn/regdownload/login.htm</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初始注册、延续注册、变更注册、注销注册、遗失补办</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太原市坞城南路50号山西省政务服务中心14号窗口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35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二级结构工程师执业资格注册</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全国一级注册建筑师、注册工程师管理信息系统http://operation.ccir.com.cn/regdownload/login.htm</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初始注册、延续注册、变更注册、注销注册、遗失补办</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太原市坞城南路50号山西省政务服务中心14号窗口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032"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造价工程师执业资格注册</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全国注册造价工程师管理系统http://zaojiasys.jianshe99.com/cecaopsys/</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变更注册、基本信息变更</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太原市坞城南路50号山西省政务服务中心14号窗口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794" w:hRule="atLeast"/>
          <w:jc w:val="center"/>
        </w:trPr>
        <w:tc>
          <w:tcPr>
            <w:tcW w:w="64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020"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二级建造师执业资格注册</w:t>
            </w:r>
          </w:p>
        </w:tc>
        <w:tc>
          <w:tcPr>
            <w:tcW w:w="385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二级建造师注册管理系统http://jzsgl.coc.gov.cn/smartclient/index.htm</w:t>
            </w:r>
          </w:p>
        </w:tc>
        <w:tc>
          <w:tcPr>
            <w:tcW w:w="2490"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初始注册、增项注册、重新注册、注</w:t>
            </w:r>
            <w:r>
              <w:rPr>
                <w:rFonts w:hint="eastAsia" w:ascii="仿宋_GB2312" w:hAnsi="仿宋_GB2312" w:eastAsia="仿宋_GB2312" w:cs="仿宋_GB2312"/>
                <w:i w:val="0"/>
                <w:color w:val="000000"/>
                <w:spacing w:val="-6"/>
                <w:kern w:val="0"/>
                <w:sz w:val="24"/>
                <w:szCs w:val="24"/>
                <w:u w:val="none"/>
                <w:lang w:val="en-US" w:eastAsia="zh-CN" w:bidi="ar"/>
              </w:rPr>
              <w:t>销注册、变更注册、</w:t>
            </w:r>
            <w:r>
              <w:rPr>
                <w:rFonts w:hint="eastAsia" w:ascii="仿宋_GB2312" w:hAnsi="仿宋_GB2312" w:eastAsia="仿宋_GB2312" w:cs="仿宋_GB2312"/>
                <w:i w:val="0"/>
                <w:color w:val="000000"/>
                <w:kern w:val="0"/>
                <w:sz w:val="24"/>
                <w:szCs w:val="24"/>
                <w:u w:val="none"/>
                <w:lang w:val="en-US" w:eastAsia="zh-CN" w:bidi="ar"/>
              </w:rPr>
              <w:t>遗失补办</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增项注册和变更注册需邮寄原证书，初始注册、重新注册和遗失补办需邮寄一寸红底照片</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太原市坞城南路50号山西省政务服务中心15号窗口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770"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注册申请表和劳动合同的1：1扫描件上传至指定邮箱</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太原市金刚里1号tysjzszc@163.com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0351-5625671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062"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大同市云山街2799号文赢湖办公楼西辅楼703室dtszjjsck@163.com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0352-7950250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020"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二级建造师执业资格注册</w:t>
            </w:r>
          </w:p>
        </w:tc>
        <w:tc>
          <w:tcPr>
            <w:tcW w:w="3855"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二级建造师注册管理系统http://jzsgl.coc.gov.cn/smartclient/index.htm</w:t>
            </w:r>
          </w:p>
        </w:tc>
        <w:tc>
          <w:tcPr>
            <w:tcW w:w="2490" w:type="dxa"/>
            <w:vMerge w:val="restart"/>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初始注册、增项注册、重新注册、注</w:t>
            </w:r>
            <w:r>
              <w:rPr>
                <w:rFonts w:hint="eastAsia" w:ascii="仿宋_GB2312" w:hAnsi="仿宋_GB2312" w:eastAsia="仿宋_GB2312" w:cs="仿宋_GB2312"/>
                <w:i w:val="0"/>
                <w:color w:val="000000"/>
                <w:spacing w:val="-6"/>
                <w:kern w:val="0"/>
                <w:sz w:val="24"/>
                <w:szCs w:val="24"/>
                <w:u w:val="none"/>
                <w:lang w:val="en-US" w:eastAsia="zh-CN" w:bidi="ar"/>
              </w:rPr>
              <w:t>销注册、变更注册、</w:t>
            </w:r>
            <w:r>
              <w:rPr>
                <w:rFonts w:hint="eastAsia" w:ascii="仿宋_GB2312" w:hAnsi="仿宋_GB2312" w:eastAsia="仿宋_GB2312" w:cs="仿宋_GB2312"/>
                <w:i w:val="0"/>
                <w:color w:val="000000"/>
                <w:kern w:val="0"/>
                <w:sz w:val="24"/>
                <w:szCs w:val="24"/>
                <w:u w:val="none"/>
                <w:lang w:val="en-US" w:eastAsia="zh-CN" w:bidi="ar"/>
              </w:rPr>
              <w:t>遗失补办</w:t>
            </w:r>
          </w:p>
        </w:tc>
        <w:tc>
          <w:tcPr>
            <w:tcW w:w="1890" w:type="dxa"/>
            <w:vMerge w:val="restart"/>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注册申请表和劳动合同的1：1扫描件上传至指定邮箱</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朔州市开发区政务大厅住建窗口szrenyuanzhuce@163.com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0349-8852568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忻州市长征路住建局            117643080@qq.com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0350-3033404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吕梁大道市政务中心建设局窗口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llszjjxzspk@163.com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0358-8487237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晋中市榆次区迎宾路194号711室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jzsjzszc@163.com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0354-3201225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阳泉市开发区大连街174号        yqszjjryzc@163.com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0353-6668025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Style w:val="5"/>
                <w:rFonts w:hint="eastAsia" w:ascii="仿宋_GB2312" w:hAnsi="仿宋_GB2312" w:eastAsia="仿宋_GB2312" w:cs="仿宋_GB2312"/>
                <w:color w:val="000000"/>
                <w:sz w:val="24"/>
                <w:szCs w:val="24"/>
                <w:lang w:val="en-US" w:eastAsia="zh-CN" w:bidi="ar"/>
              </w:rPr>
              <w:t>长治市英雄中路81号            124822042@qq.com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0355-2026472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晋城市泽州路422号            47320223@qq.com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0356-2229241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continue"/>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p>
        </w:tc>
        <w:tc>
          <w:tcPr>
            <w:tcW w:w="1020" w:type="dxa"/>
            <w:vMerge w:val="continue"/>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临汾市鼓北大街94号吉宇国际商务楼北楼15层</w:t>
            </w:r>
          </w:p>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54290209@qq.com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0357-2036721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运城市红旗东街251号市场科sck_jzs@163.com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0359-2222905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2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3855"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vMerge w:val="continue"/>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运城市红旗东街251号城建科yccjkjzs@163.com</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0359-2222966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建筑施工企业三类人员安全任职资格考核</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山西省住建厅网站-在线申报-行政审批—三类人员安全任职资格考核审批系统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http://zjt.shanxi.gov.cn/uxzspslry/Login.aspx</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首次、延续、变更、</w:t>
            </w:r>
            <w:r>
              <w:rPr>
                <w:rFonts w:hint="eastAsia" w:ascii="仿宋_GB2312" w:hAnsi="仿宋_GB2312" w:eastAsia="仿宋_GB2312" w:cs="仿宋_GB2312"/>
                <w:i w:val="0"/>
                <w:color w:val="000000"/>
                <w:kern w:val="0"/>
                <w:sz w:val="24"/>
                <w:szCs w:val="24"/>
                <w:u w:val="none"/>
                <w:lang w:val="en-US" w:eastAsia="zh-CN" w:bidi="ar"/>
              </w:rPr>
              <w:t>重新、遗失补办、注销</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延续、变更、重新和注销申请需交回原资格证书，首次、变更、重新申请的需提供1寸红底免冠照片1张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太原市坞城南路50号山西省政务服务中心13号窗口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13890" w:type="dxa"/>
            <w:gridSpan w:val="7"/>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黑体" w:hAnsi="黑体" w:eastAsia="黑体" w:cs="黑体"/>
                <w:i w:val="0"/>
                <w:color w:val="000000"/>
                <w:kern w:val="0"/>
                <w:sz w:val="24"/>
                <w:szCs w:val="24"/>
                <w:u w:val="none"/>
                <w:lang w:val="en-US" w:eastAsia="zh-CN" w:bidi="ar"/>
              </w:rPr>
              <w:t>涉及住建部、外省的企业资质、个人资格事项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房地产开发企业一级资质初审</w:t>
            </w:r>
          </w:p>
        </w:tc>
        <w:tc>
          <w:tcPr>
            <w:tcW w:w="3855" w:type="dxa"/>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升级、延续、资质证书变更</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Style w:val="5"/>
                <w:rFonts w:hint="eastAsia" w:ascii="仿宋_GB2312" w:hAnsi="仿宋_GB2312" w:eastAsia="仿宋_GB2312" w:cs="仿宋_GB2312"/>
                <w:color w:val="000000"/>
                <w:sz w:val="24"/>
                <w:szCs w:val="24"/>
                <w:lang w:val="en-US" w:eastAsia="zh-CN" w:bidi="ar"/>
              </w:rPr>
              <w:t>申请表一式两份、附件材料</w:t>
            </w:r>
            <w:r>
              <w:rPr>
                <w:rStyle w:val="6"/>
                <w:rFonts w:hint="eastAsia" w:ascii="仿宋_GB2312" w:hAnsi="仿宋_GB2312" w:eastAsia="仿宋_GB2312" w:cs="仿宋_GB2312"/>
                <w:color w:val="000000"/>
                <w:sz w:val="24"/>
                <w:szCs w:val="24"/>
                <w:lang w:val="en-US" w:eastAsia="zh-CN" w:bidi="ar"/>
              </w:rPr>
              <w:t>一套</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太原市坞城南路50号山西省政务服务中心13号窗口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工程造价咨询企业资质甲级核准</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全国工程造价咨询企业管理系统http://zaojiasys.jianshe99.com/cecaopsys/</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升级、延续、资质证书变更</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Style w:val="5"/>
                <w:rFonts w:hint="eastAsia" w:ascii="仿宋_GB2312" w:hAnsi="仿宋_GB2312" w:eastAsia="仿宋_GB2312" w:cs="仿宋_GB2312"/>
                <w:color w:val="000000"/>
                <w:sz w:val="24"/>
                <w:szCs w:val="24"/>
                <w:lang w:val="en-US" w:eastAsia="zh-CN" w:bidi="ar"/>
              </w:rPr>
              <w:t>申请表一式两份、附件材料</w:t>
            </w:r>
            <w:r>
              <w:rPr>
                <w:rStyle w:val="6"/>
                <w:rFonts w:hint="eastAsia" w:ascii="仿宋_GB2312" w:hAnsi="仿宋_GB2312" w:eastAsia="仿宋_GB2312" w:cs="仿宋_GB2312"/>
                <w:color w:val="000000"/>
                <w:sz w:val="24"/>
                <w:szCs w:val="24"/>
                <w:lang w:val="en-US" w:eastAsia="zh-CN" w:bidi="ar"/>
              </w:rPr>
              <w:t>一套</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太原市坞城南路50号山西省政务服务中心13号窗口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20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勘察设计工程师注册</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全国一级注册建筑师、注册工程师住管理信息系统http://operation.ccir.com.cn/regdownload/login.htm</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初始注册、延续注册、变更注册、注销注册、遗失补办</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太原市坞城南路50号山西省政务服务中心14号窗口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219"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一级建筑师注册</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全国一级注册建筑师、注册工程师管理信息系统http://operation.ccir.com.cn/regdownload/login.htm</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初始注册、延续注册、变更注册、注销注册、遗失补办</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太原市坞城南路50号山西省政务服务中心14号窗口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219"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监理工程师注册</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注册监理工程师管理系统http://jlgcs.cein.gov.cn/jlgcs/Doglogin.aspx</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初始注册、延续注册、变更注册、注销注册、遗失补办</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申请表一式两份，初始注册业务还需近期1寸红底免冠照片1张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太原市坞城南路50号山西省政务服务中心14号窗口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32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造价工程师注册</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全国注册造价工程师管理系统http://zaojiasys.jianshe99.com/cecaopsys/</w:t>
            </w:r>
          </w:p>
        </w:tc>
        <w:tc>
          <w:tcPr>
            <w:tcW w:w="24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初始注册、延续注册、注销注册、遗失补办、重要信息变更</w:t>
            </w: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申请表一式两份，初始注册业务还需近期2寸红底免冠照片1张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太原市坞城南路50号山西省政务服务中心14号窗口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454" w:hRule="atLeast"/>
          <w:jc w:val="center"/>
        </w:trPr>
        <w:tc>
          <w:tcPr>
            <w:tcW w:w="13890" w:type="dxa"/>
            <w:gridSpan w:val="7"/>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省外建设工程企业入晋信息登记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7" w:type="dxa"/>
            <w:left w:w="17" w:type="dxa"/>
            <w:bottom w:w="17" w:type="dxa"/>
            <w:right w:w="17" w:type="dxa"/>
          </w:tblCellMar>
        </w:tblPrEx>
        <w:trPr>
          <w:trHeight w:val="1344" w:hRule="atLeast"/>
          <w:jc w:val="center"/>
        </w:trPr>
        <w:tc>
          <w:tcPr>
            <w:tcW w:w="64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102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省外建设工程企业入晋信息登记</w:t>
            </w:r>
          </w:p>
        </w:tc>
        <w:tc>
          <w:tcPr>
            <w:tcW w:w="3855"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山西省住建厅网站-在线申报-建筑勘察设计市场-省外企业入晋信息登记系统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http://zjt.shanxi.gov.cn/EnterJin/Login.aspx</w:t>
            </w:r>
          </w:p>
        </w:tc>
        <w:tc>
          <w:tcPr>
            <w:tcW w:w="2490" w:type="dxa"/>
            <w:noWrap w:val="0"/>
            <w:vAlign w:val="center"/>
          </w:tcPr>
          <w:p>
            <w:pPr>
              <w:keepNext w:val="0"/>
              <w:keepLines w:val="0"/>
              <w:pageBreakBefore w:val="0"/>
              <w:widowControl/>
              <w:kinsoku w:val="0"/>
              <w:wordWrap/>
              <w:overflowPunct/>
              <w:topLinePunct w:val="0"/>
              <w:autoSpaceDE w:val="0"/>
              <w:autoSpaceDN w:val="0"/>
              <w:bidi w:val="0"/>
              <w:adjustRightInd/>
              <w:snapToGrid/>
              <w:spacing w:before="0" w:beforeLines="0" w:after="0" w:afterLines="0" w:line="28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890"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w:t>
            </w:r>
          </w:p>
        </w:tc>
        <w:tc>
          <w:tcPr>
            <w:tcW w:w="2514"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太原市坞城南路50号山西省政务服务中心15号窗口</w:t>
            </w:r>
          </w:p>
        </w:tc>
        <w:tc>
          <w:tcPr>
            <w:tcW w:w="1476" w:type="dxa"/>
            <w:noWrap w:val="0"/>
            <w:vAlign w:val="center"/>
          </w:tcPr>
          <w:p>
            <w:pPr>
              <w:keepNext w:val="0"/>
              <w:keepLines w:val="0"/>
              <w:pageBreakBefore w:val="0"/>
              <w:widowControl/>
              <w:suppressLineNumbers w:val="0"/>
              <w:kinsoku w:val="0"/>
              <w:wordWrap/>
              <w:overflowPunct/>
              <w:topLinePunct w:val="0"/>
              <w:autoSpaceDE w:val="0"/>
              <w:autoSpaceDN w:val="0"/>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0351-7731395</w:t>
            </w:r>
          </w:p>
        </w:tc>
      </w:tr>
    </w:tbl>
    <w:p>
      <w:pPr>
        <w:keepNext w:val="0"/>
        <w:keepLines w:val="0"/>
        <w:pageBreakBefore w:val="0"/>
        <w:widowControl w:val="0"/>
        <w:tabs>
          <w:tab w:val="left" w:pos="6930"/>
        </w:tabs>
        <w:kinsoku/>
        <w:wordWrap/>
        <w:overflowPunct/>
        <w:topLinePunct w:val="0"/>
        <w:autoSpaceDE/>
        <w:autoSpaceDN/>
        <w:bidi w:val="0"/>
        <w:adjustRightInd/>
        <w:snapToGrid/>
        <w:textAlignment w:val="auto"/>
        <w:rPr>
          <w:rFonts w:hint="eastAsia" w:ascii="仿宋_GB2312" w:eastAsia="仿宋_GB2312"/>
          <w:color w:val="000000"/>
          <w:sz w:val="28"/>
          <w:szCs w:val="28"/>
        </w:rPr>
      </w:pPr>
    </w:p>
    <w:p>
      <w:pPr>
        <w:keepNext w:val="0"/>
        <w:keepLines w:val="0"/>
        <w:pageBreakBefore w:val="0"/>
        <w:widowControl w:val="0"/>
        <w:tabs>
          <w:tab w:val="left" w:pos="6930"/>
        </w:tabs>
        <w:kinsoku/>
        <w:wordWrap/>
        <w:overflowPunct/>
        <w:topLinePunct w:val="0"/>
        <w:autoSpaceDE/>
        <w:autoSpaceDN/>
        <w:bidi w:val="0"/>
        <w:adjustRightInd/>
        <w:snapToGrid/>
        <w:jc w:val="right"/>
        <w:textAlignment w:val="auto"/>
        <w:rPr>
          <w:rFonts w:hint="eastAsia" w:ascii="仿宋_GB2312" w:eastAsia="仿宋_GB2312"/>
          <w:color w:val="000000"/>
          <w:sz w:val="28"/>
          <w:szCs w:val="28"/>
        </w:rPr>
      </w:pPr>
      <w:bookmarkStart w:id="0" w:name="_GoBack"/>
      <w:bookmarkEnd w:id="0"/>
    </w:p>
    <w:p>
      <w:pPr>
        <w:keepNext w:val="0"/>
        <w:keepLines w:val="0"/>
        <w:pageBreakBefore w:val="0"/>
        <w:widowControl w:val="0"/>
        <w:tabs>
          <w:tab w:val="left" w:pos="6930"/>
        </w:tabs>
        <w:kinsoku/>
        <w:wordWrap/>
        <w:overflowPunct/>
        <w:topLinePunct w:val="0"/>
        <w:autoSpaceDE/>
        <w:autoSpaceDN/>
        <w:bidi w:val="0"/>
        <w:adjustRightInd/>
        <w:snapToGrid/>
        <w:jc w:val="right"/>
        <w:textAlignment w:val="auto"/>
        <w:rPr>
          <w:rFonts w:hint="eastAsia" w:ascii="仿宋_GB2312" w:eastAsia="仿宋_GB2312"/>
          <w:color w:val="000000"/>
          <w:sz w:val="28"/>
          <w:szCs w:val="28"/>
        </w:rPr>
      </w:pPr>
    </w:p>
    <w:p>
      <w:pPr>
        <w:keepNext w:val="0"/>
        <w:keepLines w:val="0"/>
        <w:pageBreakBefore w:val="0"/>
        <w:widowControl w:val="0"/>
        <w:tabs>
          <w:tab w:val="left" w:pos="6930"/>
        </w:tabs>
        <w:kinsoku/>
        <w:wordWrap/>
        <w:overflowPunct/>
        <w:topLinePunct w:val="0"/>
        <w:autoSpaceDE/>
        <w:autoSpaceDN/>
        <w:bidi w:val="0"/>
        <w:adjustRightInd/>
        <w:snapToGrid/>
        <w:jc w:val="right"/>
        <w:textAlignment w:val="auto"/>
        <w:rPr>
          <w:rFonts w:hint="eastAsia" w:ascii="仿宋_GB2312" w:eastAsia="仿宋_GB2312"/>
          <w:color w:val="000000"/>
          <w:sz w:val="32"/>
          <w:szCs w:val="32"/>
        </w:rPr>
      </w:pPr>
      <w:r>
        <w:rPr>
          <w:color w:val="000000"/>
          <w:sz w:val="32"/>
        </w:rPr>
        <mc:AlternateContent>
          <mc:Choice Requires="wps">
            <w:drawing>
              <wp:anchor distT="0" distB="0" distL="114300" distR="114300" simplePos="0" relativeHeight="251662336" behindDoc="0" locked="0" layoutInCell="1" allowOverlap="1">
                <wp:simplePos x="0" y="0"/>
                <wp:positionH relativeFrom="column">
                  <wp:posOffset>188595</wp:posOffset>
                </wp:positionH>
                <wp:positionV relativeFrom="paragraph">
                  <wp:posOffset>494665</wp:posOffset>
                </wp:positionV>
                <wp:extent cx="1035685" cy="292735"/>
                <wp:effectExtent l="0" t="0" r="12065" b="12065"/>
                <wp:wrapNone/>
                <wp:docPr id="1" name="文本框 1"/>
                <wp:cNvGraphicFramePr/>
                <a:graphic xmlns:a="http://schemas.openxmlformats.org/drawingml/2006/main">
                  <a:graphicData uri="http://schemas.microsoft.com/office/word/2010/wordprocessingShape">
                    <wps:wsp>
                      <wps:cNvSpPr txBox="1"/>
                      <wps:spPr>
                        <a:xfrm>
                          <a:off x="0" y="0"/>
                          <a:ext cx="1035685" cy="292735"/>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14.85pt;margin-top:38.95pt;height:23.05pt;width:81.55pt;z-index:251662336;mso-width-relative:page;mso-height-relative:page;" fillcolor="#FFFFFF" filled="t" stroked="f" coordsize="21600,21600" o:gfxdata="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Yp4lHWAAAACQEAAA8AAAAA&#10;AAAAAQAgAAAAIgAAAGRycy9kb3ducmV2LnhtbFBLAQIUABQAAAAIAIdO4kDv9lUrpAEAACkDAAAO&#10;AAAAAAAAAAEAIAAAACUBAABkcnMvZTJvRG9jLnhtbFBLBQYAAAAABgAGAFkBAAA7BQAAAAA=&#10;">
                <v:fill on="t" focussize="0,0"/>
                <v:stroke on="f"/>
                <v:imagedata o:title=""/>
                <o:lock v:ext="edit" aspectratio="f"/>
                <v:textbox>
                  <w:txbxContent>
                    <w:p/>
                  </w:txbxContent>
                </v:textbox>
              </v:shape>
            </w:pict>
          </mc:Fallback>
        </mc:AlternateContent>
      </w:r>
      <w:r>
        <w:rPr>
          <w:rFonts w:hint="eastAsia" w:ascii="仿宋_GB2312" w:eastAsia="仿宋_GB2312"/>
          <w:color w:val="000000"/>
          <w:sz w:val="28"/>
          <w:szCs w:val="28"/>
        </w:rPr>
        <w:t xml:space="preserve">山西省住房和城乡建设厅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w:t>
      </w:r>
    </w:p>
    <w:p>
      <w:pPr>
        <w:keepNext w:val="0"/>
        <w:keepLines w:val="0"/>
        <w:pageBreakBefore w:val="0"/>
        <w:widowControl w:val="0"/>
        <w:tabs>
          <w:tab w:val="left" w:pos="6930"/>
        </w:tabs>
        <w:kinsoku/>
        <w:wordWrap/>
        <w:overflowPunct/>
        <w:topLinePunct w:val="0"/>
        <w:autoSpaceDE/>
        <w:autoSpaceDN/>
        <w:bidi w:val="0"/>
        <w:adjustRightInd/>
        <w:snapToGrid/>
        <w:jc w:val="right"/>
        <w:textAlignment w:val="auto"/>
        <w:rPr>
          <w:rFonts w:hint="eastAsia"/>
          <w:color w:val="000000"/>
        </w:rPr>
        <w:sectPr>
          <w:pgSz w:w="16838" w:h="11906" w:orient="landscape"/>
          <w:pgMar w:top="1474" w:right="1701" w:bottom="1474" w:left="1191" w:header="851" w:footer="992" w:gutter="0"/>
          <w:cols w:space="720" w:num="1"/>
          <w:rtlGutter w:val="0"/>
          <w:docGrid w:type="lines" w:linePitch="312" w:charSpace="0"/>
        </w:sectPr>
      </w:pPr>
      <w:r>
        <w:rPr>
          <w:rFonts w:hint="eastAsia" w:ascii="仿宋_GB2312" w:eastAsia="仿宋_GB2312"/>
          <w:color w:val="000000"/>
          <w:sz w:val="28"/>
          <w:szCs w:val="28"/>
        </w:rPr>
        <w:t xml:space="preserve"> </w:t>
      </w:r>
      <w:r>
        <w:rPr>
          <w:rFonts w:hint="eastAsia" w:ascii="宋体" w:hAnsi="宋体"/>
          <w:color w:val="000000"/>
          <w:sz w:val="28"/>
          <w:szCs w:val="28"/>
        </w:rPr>
        <w:t>20</w:t>
      </w:r>
      <w:r>
        <w:rPr>
          <w:rFonts w:hint="eastAsia" w:ascii="宋体" w:hAnsi="宋体"/>
          <w:color w:val="000000"/>
          <w:sz w:val="28"/>
          <w:szCs w:val="28"/>
          <w:lang w:val="en-US" w:eastAsia="zh-CN"/>
        </w:rPr>
        <w:t>20</w:t>
      </w:r>
      <w:r>
        <w:rPr>
          <w:rFonts w:hint="eastAsia" w:ascii="仿宋_GB2312" w:hAnsi="仿宋_GB2312" w:eastAsia="仿宋_GB2312" w:cs="仿宋_GB2312"/>
          <w:color w:val="000000"/>
          <w:sz w:val="28"/>
          <w:szCs w:val="28"/>
        </w:rPr>
        <w:t>年</w:t>
      </w:r>
      <w:r>
        <w:rPr>
          <w:rFonts w:hint="eastAsia" w:ascii="宋体" w:hAnsi="宋体"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宋体" w:hAnsi="宋体" w:eastAsia="仿宋_GB2312" w:cs="仿宋_GB2312"/>
          <w:color w:val="000000"/>
          <w:sz w:val="28"/>
          <w:szCs w:val="28"/>
          <w:lang w:val="en-US" w:eastAsia="zh-CN"/>
        </w:rPr>
        <w:t>19</w:t>
      </w:r>
      <w:r>
        <w:rPr>
          <w:rFonts w:hint="eastAsia" w:ascii="仿宋_GB2312" w:hAnsi="仿宋_GB2312" w:eastAsia="仿宋_GB2312" w:cs="仿宋_GB2312"/>
          <w:color w:val="000000"/>
          <w:sz w:val="28"/>
          <w:szCs w:val="28"/>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57E8B"/>
    <w:rsid w:val="2AE8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 w:type="character" w:customStyle="1" w:styleId="5">
    <w:name w:val="font11"/>
    <w:basedOn w:val="4"/>
    <w:uiPriority w:val="0"/>
    <w:rPr>
      <w:rFonts w:hint="eastAsia" w:ascii="宋体" w:hAnsi="宋体" w:eastAsia="宋体" w:cs="宋体"/>
      <w:color w:val="000000"/>
      <w:sz w:val="22"/>
      <w:szCs w:val="22"/>
      <w:u w:val="none"/>
    </w:rPr>
  </w:style>
  <w:style w:type="character" w:customStyle="1" w:styleId="6">
    <w:name w:val="font01"/>
    <w:basedOn w:val="4"/>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酒馆为谁打了烊</cp:lastModifiedBy>
  <dcterms:modified xsi:type="dcterms:W3CDTF">2020-02-20T07:40:26Z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