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黑体" w:hAnsi="黑体" w:eastAsia="黑体" w:cs="黑体"/>
          <w:sz w:val="32"/>
          <w:szCs w:val="32"/>
          <w:lang w:val="en-US" w:eastAsia="zh-CN"/>
        </w:rPr>
      </w:pPr>
      <w:bookmarkStart w:id="46" w:name="_GoBack"/>
      <w:bookmarkEnd w:id="46"/>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2</w:t>
      </w:r>
    </w:p>
    <w:p>
      <w:pPr>
        <w:jc w:val="center"/>
        <w:rPr>
          <w:sz w:val="52"/>
          <w:szCs w:val="52"/>
        </w:rPr>
      </w:pPr>
    </w:p>
    <w:p>
      <w:pPr>
        <w:jc w:val="center"/>
        <w:rPr>
          <w:sz w:val="52"/>
          <w:szCs w:val="52"/>
        </w:rPr>
      </w:pPr>
    </w:p>
    <w:p>
      <w:pPr>
        <w:jc w:val="center"/>
        <w:rPr>
          <w:sz w:val="52"/>
          <w:szCs w:val="52"/>
        </w:rPr>
      </w:pPr>
    </w:p>
    <w:p>
      <w:pPr>
        <w:jc w:val="center"/>
        <w:rPr>
          <w:b/>
          <w:bCs/>
          <w:sz w:val="52"/>
          <w:szCs w:val="52"/>
        </w:rPr>
      </w:pPr>
      <w:r>
        <w:rPr>
          <w:rFonts w:hint="eastAsia"/>
          <w:b/>
          <w:bCs/>
          <w:sz w:val="52"/>
          <w:szCs w:val="52"/>
        </w:rPr>
        <w:t>云南省建筑市场监管与诚信一体化平台诚信管理监管用户操作手册</w:t>
      </w:r>
    </w:p>
    <w:p>
      <w:pPr>
        <w:jc w:val="left"/>
        <w:rPr>
          <w:szCs w:val="21"/>
        </w:rPr>
      </w:pPr>
    </w:p>
    <w:p>
      <w:pPr>
        <w:jc w:val="left"/>
        <w:rPr>
          <w:szCs w:val="21"/>
        </w:rPr>
      </w:pPr>
    </w:p>
    <w:tbl>
      <w:tblPr>
        <w:tblStyle w:val="12"/>
        <w:tblpPr w:leftFromText="180" w:rightFromText="180" w:vertAnchor="text" w:horzAnchor="page" w:tblpXSpec="center" w:tblpY="200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3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2" w:type="dxa"/>
            <w:noWrap w:val="0"/>
            <w:vAlign w:val="center"/>
          </w:tcPr>
          <w:p>
            <w:pPr>
              <w:spacing w:line="560" w:lineRule="exact"/>
              <w:jc w:val="center"/>
              <w:rPr>
                <w:rFonts w:ascii="微软雅黑" w:hAnsi="微软雅黑" w:cs="Arial"/>
                <w:b/>
                <w:snapToGrid w:val="0"/>
              </w:rPr>
            </w:pPr>
            <w:r>
              <w:rPr>
                <w:rFonts w:hint="eastAsia" w:ascii="微软雅黑" w:hAnsi="微软雅黑" w:cs="Arial"/>
                <w:b/>
                <w:snapToGrid w:val="0"/>
              </w:rPr>
              <w:t>文档版本</w:t>
            </w:r>
          </w:p>
        </w:tc>
        <w:tc>
          <w:tcPr>
            <w:tcW w:w="3018" w:type="dxa"/>
            <w:noWrap w:val="0"/>
            <w:vAlign w:val="center"/>
          </w:tcPr>
          <w:p>
            <w:pPr>
              <w:spacing w:line="560" w:lineRule="exact"/>
              <w:jc w:val="center"/>
              <w:rPr>
                <w:rFonts w:ascii="微软雅黑" w:hAnsi="微软雅黑" w:cs="Arial"/>
                <w:b/>
                <w:i/>
                <w:snapToGrid w:val="0"/>
              </w:rPr>
            </w:pPr>
            <w:r>
              <w:rPr>
                <w:rFonts w:hint="eastAsia" w:ascii="微软雅黑" w:hAnsi="微软雅黑" w:cs="Arial"/>
                <w:b/>
                <w:i/>
                <w:snapToGrid w:val="0"/>
              </w:rPr>
              <w:t>撰写时间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2" w:type="dxa"/>
            <w:noWrap w:val="0"/>
            <w:vAlign w:val="center"/>
          </w:tcPr>
          <w:p>
            <w:pPr>
              <w:spacing w:line="560" w:lineRule="exact"/>
              <w:jc w:val="center"/>
              <w:rPr>
                <w:rFonts w:ascii="微软雅黑" w:hAnsi="微软雅黑" w:cs="Arial"/>
                <w:iCs/>
                <w:snapToGrid w:val="0"/>
              </w:rPr>
            </w:pPr>
            <w:r>
              <w:rPr>
                <w:rFonts w:hint="eastAsia" w:ascii="微软雅黑" w:hAnsi="微软雅黑" w:cs="Arial"/>
                <w:iCs/>
                <w:snapToGrid w:val="0"/>
              </w:rPr>
              <w:t>V1.0</w:t>
            </w:r>
          </w:p>
        </w:tc>
        <w:tc>
          <w:tcPr>
            <w:tcW w:w="3018" w:type="dxa"/>
            <w:noWrap w:val="0"/>
            <w:vAlign w:val="center"/>
          </w:tcPr>
          <w:p>
            <w:pPr>
              <w:spacing w:line="560" w:lineRule="exact"/>
              <w:jc w:val="center"/>
              <w:rPr>
                <w:rFonts w:ascii="微软雅黑" w:hAnsi="微软雅黑" w:cs="Arial"/>
                <w:iCs/>
                <w:snapToGrid w:val="0"/>
              </w:rPr>
            </w:pPr>
            <w:r>
              <w:rPr>
                <w:rFonts w:hint="eastAsia" w:ascii="微软雅黑" w:hAnsi="微软雅黑" w:cs="Arial"/>
                <w:iCs/>
                <w:snapToGrid w:val="0"/>
              </w:rPr>
              <w:t>2021-11-5</w:t>
            </w:r>
          </w:p>
        </w:tc>
      </w:tr>
    </w:tbl>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left"/>
        <w:rPr>
          <w:rFonts w:ascii="微软雅黑" w:hAnsi="微软雅黑"/>
          <w:b/>
          <w:sz w:val="32"/>
          <w:lang w:val="zh-CN"/>
        </w:rPr>
      </w:pPr>
    </w:p>
    <w:p>
      <w:pPr>
        <w:jc w:val="left"/>
        <w:rPr>
          <w:rFonts w:ascii="微软雅黑" w:hAnsi="微软雅黑"/>
          <w:b/>
          <w:sz w:val="32"/>
          <w:lang w:val="zh-CN"/>
        </w:rPr>
      </w:pPr>
    </w:p>
    <w:p>
      <w:pPr>
        <w:jc w:val="left"/>
        <w:rPr>
          <w:rFonts w:ascii="微软雅黑" w:hAnsi="微软雅黑"/>
          <w:b/>
          <w:sz w:val="32"/>
          <w:lang w:val="zh-CN"/>
        </w:rPr>
      </w:pPr>
    </w:p>
    <w:p>
      <w:pPr>
        <w:pStyle w:val="18"/>
        <w:tabs>
          <w:tab w:val="right" w:leader="dot" w:pos="8306"/>
        </w:tabs>
        <w:jc w:val="center"/>
        <w:rPr>
          <w:rFonts w:ascii="微软雅黑" w:hAnsi="微软雅黑"/>
          <w:b/>
          <w:sz w:val="32"/>
          <w:lang w:val="zh-CN"/>
        </w:rPr>
      </w:pPr>
      <w:r>
        <w:rPr>
          <w:rFonts w:ascii="微软雅黑" w:hAnsi="微软雅黑"/>
          <w:b/>
          <w:sz w:val="32"/>
          <w:lang w:val="zh-CN"/>
        </w:rPr>
        <w:t>目</w:t>
      </w:r>
      <w:r>
        <w:rPr>
          <w:rFonts w:hint="eastAsia" w:ascii="微软雅黑" w:hAnsi="微软雅黑"/>
          <w:b/>
          <w:sz w:val="32"/>
          <w:lang w:val="zh-CN"/>
        </w:rPr>
        <w:t xml:space="preserve"> </w:t>
      </w:r>
      <w:r>
        <w:rPr>
          <w:rFonts w:ascii="微软雅黑" w:hAnsi="微软雅黑"/>
          <w:b/>
          <w:sz w:val="32"/>
          <w:lang w:val="zh-CN"/>
        </w:rPr>
        <w:t>录</w:t>
      </w:r>
    </w:p>
    <w:p>
      <w:pPr>
        <w:jc w:val="center"/>
      </w:pPr>
    </w:p>
    <w:p>
      <w:pPr>
        <w:pStyle w:val="10"/>
        <w:tabs>
          <w:tab w:val="right" w:leader="dot" w:pos="8306"/>
        </w:tabs>
      </w:pPr>
      <w:r>
        <w:fldChar w:fldCharType="begin"/>
      </w:r>
      <w:r>
        <w:instrText xml:space="preserve">TOC \o "1-3" \h \u </w:instrText>
      </w:r>
      <w:r>
        <w:fldChar w:fldCharType="separate"/>
      </w:r>
      <w:r>
        <w:fldChar w:fldCharType="begin"/>
      </w:r>
      <w:r>
        <w:instrText xml:space="preserve"> HYPERLINK \l "_Toc21893" </w:instrText>
      </w:r>
      <w:r>
        <w:fldChar w:fldCharType="separate"/>
      </w:r>
      <w:r>
        <w:rPr>
          <w:rFonts w:hint="eastAsia"/>
        </w:rPr>
        <w:t>1.诚信管理模块使用流程</w:t>
      </w:r>
      <w:r>
        <w:tab/>
      </w:r>
      <w:r>
        <w:fldChar w:fldCharType="begin"/>
      </w:r>
      <w:r>
        <w:instrText xml:space="preserve"> PAGEREF _Toc21893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"_Toc13344" </w:instrText>
      </w:r>
      <w:r>
        <w:fldChar w:fldCharType="separate"/>
      </w:r>
      <w:r>
        <w:t xml:space="preserve">2. </w:t>
      </w:r>
      <w:r>
        <w:rPr>
          <w:rFonts w:hint="eastAsia"/>
        </w:rPr>
        <w:t>各模块操作使用说明</w:t>
      </w:r>
      <w:r>
        <w:tab/>
      </w:r>
      <w:r>
        <w:fldChar w:fldCharType="begin"/>
      </w:r>
      <w:r>
        <w:instrText xml:space="preserve"> PAGEREF _Toc13344 \h </w:instrText>
      </w:r>
      <w:r>
        <w:fldChar w:fldCharType="separate"/>
      </w:r>
      <w:r>
        <w:t>4</w:t>
      </w:r>
      <w:r>
        <w:fldChar w:fldCharType="end"/>
      </w:r>
      <w:r>
        <w:fldChar w:fldCharType="end"/>
      </w:r>
    </w:p>
    <w:p>
      <w:pPr>
        <w:pStyle w:val="11"/>
        <w:tabs>
          <w:tab w:val="right" w:leader="dot" w:pos="8306"/>
        </w:tabs>
      </w:pPr>
      <w:r>
        <w:fldChar w:fldCharType="begin"/>
      </w:r>
      <w:r>
        <w:instrText xml:space="preserve"> HYPERLINK \l "_Toc1213" </w:instrText>
      </w:r>
      <w:r>
        <w:fldChar w:fldCharType="separate"/>
      </w:r>
      <w:r>
        <w:rPr>
          <w:rFonts w:hint="eastAsia"/>
        </w:rPr>
        <w:t>2.1用户登录</w:t>
      </w:r>
      <w:r>
        <w:tab/>
      </w:r>
      <w:r>
        <w:fldChar w:fldCharType="begin"/>
      </w:r>
      <w:r>
        <w:instrText xml:space="preserve"> PAGEREF _Toc1213 \h </w:instrText>
      </w:r>
      <w:r>
        <w:fldChar w:fldCharType="separate"/>
      </w:r>
      <w:r>
        <w:t>4</w:t>
      </w:r>
      <w:r>
        <w:fldChar w:fldCharType="end"/>
      </w:r>
      <w:r>
        <w:fldChar w:fldCharType="end"/>
      </w:r>
    </w:p>
    <w:p>
      <w:pPr>
        <w:pStyle w:val="7"/>
        <w:tabs>
          <w:tab w:val="right" w:leader="dot" w:pos="8306"/>
        </w:tabs>
      </w:pPr>
      <w:r>
        <w:fldChar w:fldCharType="begin"/>
      </w:r>
      <w:r>
        <w:instrText xml:space="preserve"> HYPERLINK \l "_Toc14153" </w:instrText>
      </w:r>
      <w:r>
        <w:fldChar w:fldCharType="separate"/>
      </w:r>
      <w:r>
        <w:rPr>
          <w:rFonts w:hint="eastAsia"/>
        </w:rPr>
        <w:t>2.1.1登录平台</w:t>
      </w:r>
      <w:r>
        <w:tab/>
      </w:r>
      <w:r>
        <w:fldChar w:fldCharType="begin"/>
      </w:r>
      <w:r>
        <w:instrText xml:space="preserve"> PAGEREF _Toc14153 \h </w:instrText>
      </w:r>
      <w:r>
        <w:fldChar w:fldCharType="separate"/>
      </w:r>
      <w:r>
        <w:t>4</w:t>
      </w:r>
      <w:r>
        <w:fldChar w:fldCharType="end"/>
      </w:r>
      <w:r>
        <w:fldChar w:fldCharType="end"/>
      </w:r>
    </w:p>
    <w:p>
      <w:pPr>
        <w:pStyle w:val="7"/>
        <w:tabs>
          <w:tab w:val="right" w:leader="dot" w:pos="8306"/>
        </w:tabs>
      </w:pPr>
      <w:r>
        <w:fldChar w:fldCharType="begin"/>
      </w:r>
      <w:r>
        <w:instrText xml:space="preserve"> HYPERLINK \l "_Toc13674" </w:instrText>
      </w:r>
      <w:r>
        <w:fldChar w:fldCharType="separate"/>
      </w:r>
      <w:r>
        <w:rPr>
          <w:rFonts w:hint="eastAsia"/>
        </w:rPr>
        <w:t>2.</w:t>
      </w:r>
      <w:r>
        <w:t>1.2 平台菜单</w:t>
      </w:r>
      <w:r>
        <w:tab/>
      </w:r>
      <w:r>
        <w:fldChar w:fldCharType="begin"/>
      </w:r>
      <w:r>
        <w:instrText xml:space="preserve"> PAGEREF _Toc13674 \h </w:instrText>
      </w:r>
      <w:r>
        <w:fldChar w:fldCharType="separate"/>
      </w:r>
      <w:r>
        <w:t>5</w:t>
      </w:r>
      <w:r>
        <w:fldChar w:fldCharType="end"/>
      </w:r>
      <w:r>
        <w:fldChar w:fldCharType="end"/>
      </w:r>
    </w:p>
    <w:p>
      <w:pPr>
        <w:pStyle w:val="11"/>
        <w:tabs>
          <w:tab w:val="right" w:leader="dot" w:pos="8306"/>
        </w:tabs>
      </w:pPr>
      <w:r>
        <w:fldChar w:fldCharType="begin"/>
      </w:r>
      <w:r>
        <w:instrText xml:space="preserve"> HYPERLINK \l "_Toc12523" </w:instrText>
      </w:r>
      <w:r>
        <w:fldChar w:fldCharType="separate"/>
      </w:r>
      <w:r>
        <w:rPr>
          <w:rFonts w:hint="eastAsia"/>
        </w:rPr>
        <w:t>2.2企业诚信评分查询</w:t>
      </w:r>
      <w:r>
        <w:tab/>
      </w:r>
      <w:r>
        <w:fldChar w:fldCharType="begin"/>
      </w:r>
      <w:r>
        <w:instrText xml:space="preserve"> PAGEREF _Toc12523 \h </w:instrText>
      </w:r>
      <w:r>
        <w:fldChar w:fldCharType="separate"/>
      </w:r>
      <w:r>
        <w:t>5</w:t>
      </w:r>
      <w:r>
        <w:fldChar w:fldCharType="end"/>
      </w:r>
      <w:r>
        <w:fldChar w:fldCharType="end"/>
      </w:r>
    </w:p>
    <w:p>
      <w:pPr>
        <w:pStyle w:val="7"/>
        <w:tabs>
          <w:tab w:val="right" w:leader="dot" w:pos="8306"/>
        </w:tabs>
      </w:pPr>
      <w:r>
        <w:fldChar w:fldCharType="begin"/>
      </w:r>
      <w:r>
        <w:instrText xml:space="preserve"> HYPERLINK \l "_Toc30509" </w:instrText>
      </w:r>
      <w:r>
        <w:fldChar w:fldCharType="separate"/>
      </w:r>
      <w:r>
        <w:rPr>
          <w:rFonts w:hint="eastAsia"/>
        </w:rPr>
        <w:t>2.2.1进入路径</w:t>
      </w:r>
      <w:r>
        <w:tab/>
      </w:r>
      <w:r>
        <w:fldChar w:fldCharType="begin"/>
      </w:r>
      <w:r>
        <w:instrText xml:space="preserve"> PAGEREF _Toc30509 \h </w:instrText>
      </w:r>
      <w:r>
        <w:fldChar w:fldCharType="separate"/>
      </w:r>
      <w:r>
        <w:t>6</w:t>
      </w:r>
      <w:r>
        <w:fldChar w:fldCharType="end"/>
      </w:r>
      <w:r>
        <w:fldChar w:fldCharType="end"/>
      </w:r>
    </w:p>
    <w:p>
      <w:pPr>
        <w:pStyle w:val="7"/>
        <w:tabs>
          <w:tab w:val="right" w:leader="dot" w:pos="8306"/>
        </w:tabs>
      </w:pPr>
      <w:r>
        <w:fldChar w:fldCharType="begin"/>
      </w:r>
      <w:r>
        <w:instrText xml:space="preserve"> HYPERLINK \l "_Toc27337" </w:instrText>
      </w:r>
      <w:r>
        <w:fldChar w:fldCharType="separate"/>
      </w:r>
      <w:r>
        <w:rPr>
          <w:rFonts w:hint="eastAsia"/>
        </w:rPr>
        <w:t>2.2.2详情页说明</w:t>
      </w:r>
      <w:r>
        <w:tab/>
      </w:r>
      <w:r>
        <w:fldChar w:fldCharType="begin"/>
      </w:r>
      <w:r>
        <w:instrText xml:space="preserve"> PAGEREF _Toc27337 \h </w:instrText>
      </w:r>
      <w:r>
        <w:fldChar w:fldCharType="separate"/>
      </w:r>
      <w:r>
        <w:t>6</w:t>
      </w:r>
      <w:r>
        <w:fldChar w:fldCharType="end"/>
      </w:r>
      <w:r>
        <w:fldChar w:fldCharType="end"/>
      </w:r>
    </w:p>
    <w:p>
      <w:pPr>
        <w:pStyle w:val="11"/>
        <w:tabs>
          <w:tab w:val="right" w:leader="dot" w:pos="8306"/>
        </w:tabs>
      </w:pPr>
      <w:r>
        <w:fldChar w:fldCharType="begin"/>
      </w:r>
      <w:r>
        <w:instrText xml:space="preserve"> HYPERLINK \l "_Toc10942" </w:instrText>
      </w:r>
      <w:r>
        <w:fldChar w:fldCharType="separate"/>
      </w:r>
      <w:r>
        <w:rPr>
          <w:rFonts w:hint="eastAsia"/>
        </w:rPr>
        <w:t>2.3企业通常行为</w:t>
      </w:r>
      <w:r>
        <w:tab/>
      </w:r>
      <w:r>
        <w:fldChar w:fldCharType="begin"/>
      </w:r>
      <w:r>
        <w:instrText xml:space="preserve"> PAGEREF _Toc10942 \h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"_Toc4279" </w:instrText>
      </w:r>
      <w:r>
        <w:fldChar w:fldCharType="separate"/>
      </w:r>
      <w:r>
        <w:rPr>
          <w:rFonts w:hint="eastAsia"/>
        </w:rPr>
        <w:t>2.3.1经济指标</w:t>
      </w:r>
      <w:r>
        <w:tab/>
      </w:r>
      <w:r>
        <w:fldChar w:fldCharType="begin"/>
      </w:r>
      <w:r>
        <w:instrText xml:space="preserve"> PAGEREF _Toc4279 \h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"_Toc19121" </w:instrText>
      </w:r>
      <w:r>
        <w:fldChar w:fldCharType="separate"/>
      </w:r>
      <w:r>
        <w:rPr>
          <w:rFonts w:hint="eastAsia"/>
        </w:rPr>
        <w:t>2.3.2企业纳税等级</w:t>
      </w:r>
      <w:r>
        <w:tab/>
      </w:r>
      <w:r>
        <w:fldChar w:fldCharType="begin"/>
      </w:r>
      <w:r>
        <w:instrText xml:space="preserve"> PAGEREF _Toc19121 \h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"_Toc194" </w:instrText>
      </w:r>
      <w:r>
        <w:fldChar w:fldCharType="separate"/>
      </w:r>
      <w:r>
        <w:rPr>
          <w:rFonts w:hint="eastAsia"/>
        </w:rPr>
        <w:t>2.3.3良好信息</w:t>
      </w:r>
      <w:r>
        <w:tab/>
      </w:r>
      <w:r>
        <w:fldChar w:fldCharType="begin"/>
      </w:r>
      <w:r>
        <w:instrText xml:space="preserve"> PAGEREF _Toc194 \h </w:instrText>
      </w:r>
      <w:r>
        <w:fldChar w:fldCharType="separate"/>
      </w:r>
      <w:r>
        <w:t>9</w:t>
      </w:r>
      <w:r>
        <w:fldChar w:fldCharType="end"/>
      </w:r>
      <w:r>
        <w:fldChar w:fldCharType="end"/>
      </w:r>
    </w:p>
    <w:p>
      <w:pPr>
        <w:pStyle w:val="7"/>
        <w:tabs>
          <w:tab w:val="right" w:leader="dot" w:pos="8306"/>
        </w:tabs>
      </w:pPr>
      <w:r>
        <w:fldChar w:fldCharType="begin"/>
      </w:r>
      <w:r>
        <w:instrText xml:space="preserve"> HYPERLINK \l "_Toc31623" </w:instrText>
      </w:r>
      <w:r>
        <w:fldChar w:fldCharType="separate"/>
      </w:r>
      <w:r>
        <w:rPr>
          <w:rFonts w:hint="eastAsia"/>
        </w:rPr>
        <w:t>2.3.4职工参保率及执业信息</w:t>
      </w:r>
      <w:r>
        <w:tab/>
      </w:r>
      <w:r>
        <w:fldChar w:fldCharType="begin"/>
      </w:r>
      <w:r>
        <w:instrText xml:space="preserve"> PAGEREF _Toc31623 \h </w:instrText>
      </w:r>
      <w:r>
        <w:fldChar w:fldCharType="separate"/>
      </w:r>
      <w:r>
        <w:t>10</w:t>
      </w:r>
      <w:r>
        <w:fldChar w:fldCharType="end"/>
      </w:r>
      <w:r>
        <w:fldChar w:fldCharType="end"/>
      </w:r>
    </w:p>
    <w:p>
      <w:pPr>
        <w:pStyle w:val="7"/>
        <w:tabs>
          <w:tab w:val="right" w:leader="dot" w:pos="8306"/>
        </w:tabs>
      </w:pPr>
      <w:r>
        <w:fldChar w:fldCharType="begin"/>
      </w:r>
      <w:r>
        <w:instrText xml:space="preserve"> HYPERLINK \l "_Toc6529" </w:instrText>
      </w:r>
      <w:r>
        <w:fldChar w:fldCharType="separate"/>
      </w:r>
      <w:r>
        <w:rPr>
          <w:rFonts w:hint="eastAsia"/>
        </w:rPr>
        <w:t>2.3.5第三方信用评价</w:t>
      </w:r>
      <w:r>
        <w:tab/>
      </w:r>
      <w:r>
        <w:fldChar w:fldCharType="begin"/>
      </w:r>
      <w:r>
        <w:instrText xml:space="preserve"> PAGEREF _Toc6529 \h </w:instrText>
      </w:r>
      <w:r>
        <w:fldChar w:fldCharType="separate"/>
      </w:r>
      <w:r>
        <w:t>10</w:t>
      </w:r>
      <w:r>
        <w:fldChar w:fldCharType="end"/>
      </w:r>
      <w:r>
        <w:fldChar w:fldCharType="end"/>
      </w:r>
    </w:p>
    <w:p>
      <w:pPr>
        <w:pStyle w:val="7"/>
        <w:tabs>
          <w:tab w:val="right" w:leader="dot" w:pos="8306"/>
        </w:tabs>
      </w:pPr>
      <w:r>
        <w:fldChar w:fldCharType="begin"/>
      </w:r>
      <w:r>
        <w:instrText xml:space="preserve"> HYPERLINK \l "_Toc9509" </w:instrText>
      </w:r>
      <w:r>
        <w:fldChar w:fldCharType="separate"/>
      </w:r>
      <w:r>
        <w:rPr>
          <w:rFonts w:hint="eastAsia"/>
        </w:rPr>
        <w:t>2.3.6不良信息</w:t>
      </w:r>
      <w:r>
        <w:tab/>
      </w:r>
      <w:r>
        <w:fldChar w:fldCharType="begin"/>
      </w:r>
      <w:r>
        <w:instrText xml:space="preserve"> PAGEREF _Toc9509 \h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"_Toc24621" </w:instrText>
      </w:r>
      <w:r>
        <w:fldChar w:fldCharType="separate"/>
      </w:r>
      <w:r>
        <w:rPr>
          <w:rFonts w:hint="eastAsia"/>
        </w:rPr>
        <w:t>2.4企业实施行为</w:t>
      </w:r>
      <w:r>
        <w:tab/>
      </w:r>
      <w:r>
        <w:fldChar w:fldCharType="begin"/>
      </w:r>
      <w:r>
        <w:instrText xml:space="preserve"> PAGEREF _Toc24621 \h </w:instrText>
      </w:r>
      <w:r>
        <w:fldChar w:fldCharType="separate"/>
      </w:r>
      <w:r>
        <w:t>15</w:t>
      </w:r>
      <w:r>
        <w:fldChar w:fldCharType="end"/>
      </w:r>
      <w:r>
        <w:fldChar w:fldCharType="end"/>
      </w:r>
    </w:p>
    <w:p>
      <w:pPr>
        <w:pStyle w:val="10"/>
        <w:tabs>
          <w:tab w:val="right" w:leader="dot" w:pos="8306"/>
        </w:tabs>
      </w:pPr>
      <w:r>
        <w:fldChar w:fldCharType="begin"/>
      </w:r>
      <w:r>
        <w:instrText xml:space="preserve"> HYPERLINK \l "_Toc10537" </w:instrText>
      </w:r>
      <w:r>
        <w:fldChar w:fldCharType="separate"/>
      </w:r>
      <w:r>
        <w:rPr>
          <w:rFonts w:hint="eastAsia"/>
        </w:rPr>
        <w:t>3.诚信评分各指标算分规则说明汇总</w:t>
      </w:r>
      <w:r>
        <w:tab/>
      </w:r>
      <w:r>
        <w:fldChar w:fldCharType="begin"/>
      </w:r>
      <w:r>
        <w:instrText xml:space="preserve"> PAGEREF _Toc10537 \h </w:instrText>
      </w:r>
      <w:r>
        <w:fldChar w:fldCharType="separate"/>
      </w:r>
      <w:r>
        <w:t>17</w:t>
      </w:r>
      <w:r>
        <w:fldChar w:fldCharType="end"/>
      </w:r>
      <w:r>
        <w:fldChar w:fldCharType="end"/>
      </w:r>
    </w:p>
    <w:p>
      <w:pPr>
        <w:pStyle w:val="11"/>
        <w:tabs>
          <w:tab w:val="right" w:leader="dot" w:pos="8306"/>
        </w:tabs>
      </w:pPr>
      <w:r>
        <w:fldChar w:fldCharType="begin"/>
      </w:r>
      <w:r>
        <w:instrText xml:space="preserve"> HYPERLINK \l "_Toc25644" </w:instrText>
      </w:r>
      <w:r>
        <w:fldChar w:fldCharType="separate"/>
      </w:r>
      <w:r>
        <w:rPr>
          <w:rFonts w:hint="eastAsia"/>
        </w:rPr>
        <w:t>3.1基础信息</w:t>
      </w:r>
      <w:r>
        <w:tab/>
      </w:r>
      <w:r>
        <w:fldChar w:fldCharType="begin"/>
      </w:r>
      <w:r>
        <w:instrText xml:space="preserve"> PAGEREF _Toc25644 \h </w:instrText>
      </w:r>
      <w:r>
        <w:fldChar w:fldCharType="separate"/>
      </w:r>
      <w:r>
        <w:t>17</w:t>
      </w:r>
      <w:r>
        <w:fldChar w:fldCharType="end"/>
      </w:r>
      <w:r>
        <w:fldChar w:fldCharType="end"/>
      </w:r>
    </w:p>
    <w:p>
      <w:pPr>
        <w:pStyle w:val="7"/>
        <w:tabs>
          <w:tab w:val="right" w:leader="dot" w:pos="8306"/>
        </w:tabs>
      </w:pPr>
      <w:r>
        <w:fldChar w:fldCharType="begin"/>
      </w:r>
      <w:r>
        <w:instrText xml:space="preserve"> HYPERLINK \l "_Toc9391" </w:instrText>
      </w:r>
      <w:r>
        <w:fldChar w:fldCharType="separate"/>
      </w:r>
      <w:r>
        <w:rPr>
          <w:rFonts w:hint="eastAsia"/>
        </w:rPr>
        <w:t>3.1.1企业资质：</w:t>
      </w:r>
      <w:r>
        <w:tab/>
      </w:r>
      <w:r>
        <w:fldChar w:fldCharType="begin"/>
      </w:r>
      <w:r>
        <w:instrText xml:space="preserve"> PAGEREF _Toc9391 \h </w:instrText>
      </w:r>
      <w:r>
        <w:fldChar w:fldCharType="separate"/>
      </w:r>
      <w:r>
        <w:t>18</w:t>
      </w:r>
      <w:r>
        <w:fldChar w:fldCharType="end"/>
      </w:r>
      <w:r>
        <w:fldChar w:fldCharType="end"/>
      </w:r>
    </w:p>
    <w:p>
      <w:pPr>
        <w:pStyle w:val="7"/>
        <w:tabs>
          <w:tab w:val="right" w:leader="dot" w:pos="8306"/>
        </w:tabs>
      </w:pPr>
      <w:r>
        <w:fldChar w:fldCharType="begin"/>
      </w:r>
      <w:r>
        <w:instrText xml:space="preserve"> HYPERLINK \l "_Toc13359" </w:instrText>
      </w:r>
      <w:r>
        <w:fldChar w:fldCharType="separate"/>
      </w:r>
      <w:r>
        <w:rPr>
          <w:rFonts w:hint="eastAsia"/>
        </w:rPr>
        <w:t>3.1.2在册专业技术人员</w:t>
      </w:r>
      <w:r>
        <w:tab/>
      </w:r>
      <w:r>
        <w:fldChar w:fldCharType="begin"/>
      </w:r>
      <w:r>
        <w:instrText xml:space="preserve"> PAGEREF _Toc13359 \h </w:instrText>
      </w:r>
      <w:r>
        <w:fldChar w:fldCharType="separate"/>
      </w:r>
      <w:r>
        <w:t>18</w:t>
      </w:r>
      <w:r>
        <w:fldChar w:fldCharType="end"/>
      </w:r>
      <w:r>
        <w:fldChar w:fldCharType="end"/>
      </w:r>
    </w:p>
    <w:p>
      <w:pPr>
        <w:pStyle w:val="7"/>
        <w:tabs>
          <w:tab w:val="right" w:leader="dot" w:pos="8306"/>
        </w:tabs>
      </w:pPr>
      <w:r>
        <w:fldChar w:fldCharType="begin"/>
      </w:r>
      <w:r>
        <w:instrText xml:space="preserve"> HYPERLINK \l "_Toc24969" </w:instrText>
      </w:r>
      <w:r>
        <w:fldChar w:fldCharType="separate"/>
      </w:r>
      <w:r>
        <w:rPr>
          <w:rFonts w:hint="eastAsia"/>
        </w:rPr>
        <w:t>3.1.3评价周期内在滇产值（营收）完成情况：</w:t>
      </w:r>
      <w:r>
        <w:tab/>
      </w:r>
      <w:r>
        <w:fldChar w:fldCharType="begin"/>
      </w:r>
      <w:r>
        <w:instrText xml:space="preserve"> PAGEREF _Toc24969 \h </w:instrText>
      </w:r>
      <w:r>
        <w:fldChar w:fldCharType="separate"/>
      </w:r>
      <w:r>
        <w:t>18</w:t>
      </w:r>
      <w:r>
        <w:fldChar w:fldCharType="end"/>
      </w:r>
      <w:r>
        <w:fldChar w:fldCharType="end"/>
      </w:r>
    </w:p>
    <w:p>
      <w:pPr>
        <w:pStyle w:val="7"/>
        <w:tabs>
          <w:tab w:val="right" w:leader="dot" w:pos="8306"/>
        </w:tabs>
      </w:pPr>
      <w:r>
        <w:fldChar w:fldCharType="begin"/>
      </w:r>
      <w:r>
        <w:instrText xml:space="preserve"> HYPERLINK \l "_Toc6425" </w:instrText>
      </w:r>
      <w:r>
        <w:fldChar w:fldCharType="separate"/>
      </w:r>
      <w:r>
        <w:rPr>
          <w:rFonts w:hint="eastAsia"/>
        </w:rPr>
        <w:t>3.1.4近五年已完工项目及在建项目信息</w:t>
      </w:r>
      <w:r>
        <w:tab/>
      </w:r>
      <w:r>
        <w:fldChar w:fldCharType="begin"/>
      </w:r>
      <w:r>
        <w:instrText xml:space="preserve"> PAGEREF _Toc6425 \h </w:instrText>
      </w:r>
      <w:r>
        <w:fldChar w:fldCharType="separate"/>
      </w:r>
      <w:r>
        <w:t>18</w:t>
      </w:r>
      <w:r>
        <w:fldChar w:fldCharType="end"/>
      </w:r>
      <w:r>
        <w:fldChar w:fldCharType="end"/>
      </w:r>
    </w:p>
    <w:p>
      <w:pPr>
        <w:pStyle w:val="11"/>
        <w:tabs>
          <w:tab w:val="right" w:leader="dot" w:pos="8306"/>
        </w:tabs>
      </w:pPr>
      <w:r>
        <w:fldChar w:fldCharType="begin"/>
      </w:r>
      <w:r>
        <w:instrText xml:space="preserve"> HYPERLINK \l "_Toc31228" </w:instrText>
      </w:r>
      <w:r>
        <w:fldChar w:fldCharType="separate"/>
      </w:r>
      <w:r>
        <w:rPr>
          <w:rFonts w:hint="eastAsia"/>
        </w:rPr>
        <w:t>3.2经济指标</w:t>
      </w:r>
      <w:r>
        <w:tab/>
      </w:r>
      <w:r>
        <w:fldChar w:fldCharType="begin"/>
      </w:r>
      <w:r>
        <w:instrText xml:space="preserve"> PAGEREF _Toc31228 \h </w:instrText>
      </w:r>
      <w:r>
        <w:fldChar w:fldCharType="separate"/>
      </w:r>
      <w:r>
        <w:t>18</w:t>
      </w:r>
      <w:r>
        <w:fldChar w:fldCharType="end"/>
      </w:r>
      <w:r>
        <w:fldChar w:fldCharType="end"/>
      </w:r>
    </w:p>
    <w:p>
      <w:pPr>
        <w:pStyle w:val="11"/>
        <w:tabs>
          <w:tab w:val="right" w:leader="dot" w:pos="8306"/>
        </w:tabs>
      </w:pPr>
      <w:r>
        <w:fldChar w:fldCharType="begin"/>
      </w:r>
      <w:r>
        <w:instrText xml:space="preserve"> HYPERLINK \l "_Toc11593" </w:instrText>
      </w:r>
      <w:r>
        <w:fldChar w:fldCharType="separate"/>
      </w:r>
      <w:r>
        <w:rPr>
          <w:rFonts w:hint="eastAsia"/>
        </w:rPr>
        <w:t>3.3纳税等级</w:t>
      </w:r>
      <w:r>
        <w:tab/>
      </w:r>
      <w:r>
        <w:fldChar w:fldCharType="begin"/>
      </w:r>
      <w:r>
        <w:instrText xml:space="preserve"> PAGEREF _Toc11593 \h </w:instrText>
      </w:r>
      <w:r>
        <w:fldChar w:fldCharType="separate"/>
      </w:r>
      <w:r>
        <w:t>18</w:t>
      </w:r>
      <w:r>
        <w:fldChar w:fldCharType="end"/>
      </w:r>
      <w:r>
        <w:fldChar w:fldCharType="end"/>
      </w:r>
    </w:p>
    <w:p>
      <w:pPr>
        <w:pStyle w:val="11"/>
        <w:tabs>
          <w:tab w:val="right" w:leader="dot" w:pos="8306"/>
        </w:tabs>
      </w:pPr>
      <w:r>
        <w:fldChar w:fldCharType="begin"/>
      </w:r>
      <w:r>
        <w:instrText xml:space="preserve"> HYPERLINK \l "_Toc2931" </w:instrText>
      </w:r>
      <w:r>
        <w:fldChar w:fldCharType="separate"/>
      </w:r>
      <w:r>
        <w:rPr>
          <w:rFonts w:hint="eastAsia"/>
        </w:rPr>
        <w:t>3.4信用评价</w:t>
      </w:r>
      <w:r>
        <w:tab/>
      </w:r>
      <w:r>
        <w:fldChar w:fldCharType="begin"/>
      </w:r>
      <w:r>
        <w:instrText xml:space="preserve"> PAGEREF _Toc2931 \h </w:instrText>
      </w:r>
      <w:r>
        <w:fldChar w:fldCharType="separate"/>
      </w:r>
      <w:r>
        <w:t>18</w:t>
      </w:r>
      <w:r>
        <w:fldChar w:fldCharType="end"/>
      </w:r>
      <w:r>
        <w:fldChar w:fldCharType="end"/>
      </w:r>
    </w:p>
    <w:p>
      <w:pPr>
        <w:pStyle w:val="11"/>
        <w:tabs>
          <w:tab w:val="right" w:leader="dot" w:pos="8306"/>
        </w:tabs>
      </w:pPr>
      <w:r>
        <w:fldChar w:fldCharType="begin"/>
      </w:r>
      <w:r>
        <w:instrText xml:space="preserve"> HYPERLINK \l "_Toc23288" </w:instrText>
      </w:r>
      <w:r>
        <w:fldChar w:fldCharType="separate"/>
      </w:r>
      <w:r>
        <w:rPr>
          <w:rFonts w:hint="eastAsia"/>
        </w:rPr>
        <w:t>3.5良好信息</w:t>
      </w:r>
      <w:r>
        <w:tab/>
      </w:r>
      <w:r>
        <w:fldChar w:fldCharType="begin"/>
      </w:r>
      <w:r>
        <w:instrText xml:space="preserve"> PAGEREF _Toc23288 \h </w:instrText>
      </w:r>
      <w:r>
        <w:fldChar w:fldCharType="separate"/>
      </w:r>
      <w:r>
        <w:t>19</w:t>
      </w:r>
      <w:r>
        <w:fldChar w:fldCharType="end"/>
      </w:r>
      <w:r>
        <w:fldChar w:fldCharType="end"/>
      </w:r>
    </w:p>
    <w:p>
      <w:pPr>
        <w:pStyle w:val="11"/>
        <w:tabs>
          <w:tab w:val="right" w:leader="dot" w:pos="8306"/>
        </w:tabs>
      </w:pPr>
      <w:r>
        <w:fldChar w:fldCharType="begin"/>
      </w:r>
      <w:r>
        <w:instrText xml:space="preserve"> HYPERLINK \l "_Toc30669" </w:instrText>
      </w:r>
      <w:r>
        <w:fldChar w:fldCharType="separate"/>
      </w:r>
      <w:r>
        <w:rPr>
          <w:rFonts w:hint="eastAsia"/>
        </w:rPr>
        <w:t>3.6企业职工参保率</w:t>
      </w:r>
      <w:r>
        <w:tab/>
      </w:r>
      <w:r>
        <w:fldChar w:fldCharType="begin"/>
      </w:r>
      <w:r>
        <w:instrText xml:space="preserve"> PAGEREF _Toc30669 \h </w:instrText>
      </w:r>
      <w:r>
        <w:fldChar w:fldCharType="separate"/>
      </w:r>
      <w:r>
        <w:t>19</w:t>
      </w:r>
      <w:r>
        <w:fldChar w:fldCharType="end"/>
      </w:r>
      <w:r>
        <w:fldChar w:fldCharType="end"/>
      </w:r>
    </w:p>
    <w:p>
      <w:pPr>
        <w:pStyle w:val="11"/>
        <w:tabs>
          <w:tab w:val="right" w:leader="dot" w:pos="8306"/>
        </w:tabs>
      </w:pPr>
      <w:r>
        <w:fldChar w:fldCharType="begin"/>
      </w:r>
      <w:r>
        <w:instrText xml:space="preserve"> HYPERLINK \l "_Toc25295" </w:instrText>
      </w:r>
      <w:r>
        <w:fldChar w:fldCharType="separate"/>
      </w:r>
      <w:r>
        <w:rPr>
          <w:rFonts w:hint="eastAsia"/>
        </w:rPr>
        <w:t>3.7企业职工执业信息</w:t>
      </w:r>
      <w:r>
        <w:tab/>
      </w:r>
      <w:r>
        <w:fldChar w:fldCharType="begin"/>
      </w:r>
      <w:r>
        <w:instrText xml:space="preserve"> PAGEREF _Toc25295 \h </w:instrText>
      </w:r>
      <w:r>
        <w:fldChar w:fldCharType="separate"/>
      </w:r>
      <w:r>
        <w:t>19</w:t>
      </w:r>
      <w:r>
        <w:fldChar w:fldCharType="end"/>
      </w:r>
      <w:r>
        <w:fldChar w:fldCharType="end"/>
      </w:r>
    </w:p>
    <w:p>
      <w:pPr>
        <w:pStyle w:val="11"/>
        <w:tabs>
          <w:tab w:val="right" w:leader="dot" w:pos="8306"/>
        </w:tabs>
      </w:pPr>
      <w:r>
        <w:fldChar w:fldCharType="begin"/>
      </w:r>
      <w:r>
        <w:instrText xml:space="preserve"> HYPERLINK \l "_Toc29241" </w:instrText>
      </w:r>
      <w:r>
        <w:fldChar w:fldCharType="separate"/>
      </w:r>
      <w:r>
        <w:rPr>
          <w:rFonts w:hint="eastAsia"/>
        </w:rPr>
        <w:t>3.8不良信息</w:t>
      </w:r>
      <w:r>
        <w:tab/>
      </w:r>
      <w:r>
        <w:fldChar w:fldCharType="begin"/>
      </w:r>
      <w:r>
        <w:instrText xml:space="preserve"> PAGEREF _Toc29241 \h </w:instrText>
      </w:r>
      <w:r>
        <w:fldChar w:fldCharType="separate"/>
      </w:r>
      <w:r>
        <w:t>19</w:t>
      </w:r>
      <w:r>
        <w:fldChar w:fldCharType="end"/>
      </w:r>
      <w:r>
        <w:fldChar w:fldCharType="end"/>
      </w:r>
    </w:p>
    <w:p>
      <w:pPr>
        <w:pStyle w:val="11"/>
        <w:tabs>
          <w:tab w:val="right" w:leader="dot" w:pos="8306"/>
        </w:tabs>
      </w:pPr>
      <w:r>
        <w:fldChar w:fldCharType="begin"/>
      </w:r>
      <w:r>
        <w:instrText xml:space="preserve"> HYPERLINK \l "_Toc21470" </w:instrText>
      </w:r>
      <w:r>
        <w:fldChar w:fldCharType="separate"/>
      </w:r>
      <w:r>
        <w:rPr>
          <w:rFonts w:hint="eastAsia"/>
        </w:rPr>
        <w:t>3.9企业实施行为</w:t>
      </w:r>
      <w:r>
        <w:tab/>
      </w:r>
      <w:r>
        <w:fldChar w:fldCharType="begin"/>
      </w:r>
      <w:r>
        <w:instrText xml:space="preserve"> PAGEREF _Toc21470 \h </w:instrText>
      </w:r>
      <w:r>
        <w:fldChar w:fldCharType="separate"/>
      </w:r>
      <w:r>
        <w:t>19</w:t>
      </w:r>
      <w:r>
        <w:fldChar w:fldCharType="end"/>
      </w:r>
      <w:r>
        <w:fldChar w:fldCharType="end"/>
      </w:r>
    </w:p>
    <w:p>
      <w:pPr>
        <w:pStyle w:val="18"/>
        <w:tabs>
          <w:tab w:val="right" w:leader="dot" w:pos="8306"/>
        </w:tabs>
        <w:rPr>
          <w:rFonts w:ascii="宋体" w:hAnsi="宋体" w:cs="Times New Roman"/>
          <w:kern w:val="2"/>
          <w:sz w:val="21"/>
          <w:szCs w:val="24"/>
        </w:rPr>
      </w:pPr>
      <w:r>
        <w:fldChar w:fldCharType="end"/>
      </w:r>
    </w:p>
    <w:p>
      <w:pPr>
        <w:pStyle w:val="18"/>
        <w:tabs>
          <w:tab w:val="right" w:leader="dot" w:pos="8306"/>
        </w:tabs>
        <w:rPr>
          <w:rFonts w:ascii="微软雅黑" w:hAnsi="微软雅黑"/>
          <w:bCs/>
          <w:sz w:val="32"/>
        </w:rPr>
      </w:pPr>
      <w:r>
        <w:rPr>
          <w:rFonts w:ascii="微软雅黑" w:hAnsi="微软雅黑" w:cs="Times New Roman"/>
          <w:b/>
          <w:bCs/>
          <w:sz w:val="24"/>
          <w:szCs w:val="24"/>
        </w:rPr>
        <w:br w:type="page"/>
      </w:r>
    </w:p>
    <w:p>
      <w:pPr>
        <w:pStyle w:val="2"/>
      </w:pPr>
      <w:bookmarkStart w:id="0" w:name="_Toc21893"/>
      <w:r>
        <w:rPr>
          <w:rFonts w:hint="eastAsia"/>
        </w:rPr>
        <w:t>1.诚信管理模块使用流程</w:t>
      </w:r>
      <w:bookmarkEnd w:id="0"/>
    </w:p>
    <w:p>
      <w:r>
        <w:drawing>
          <wp:inline distT="0" distB="0" distL="114300" distR="114300">
            <wp:extent cx="5273040" cy="7095490"/>
            <wp:effectExtent l="0" t="0" r="3810" b="10160"/>
            <wp:docPr id="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true"/>
                    </pic:cNvPicPr>
                  </pic:nvPicPr>
                  <pic:blipFill>
                    <a:blip r:embed="rId4"/>
                    <a:stretch>
                      <a:fillRect/>
                    </a:stretch>
                  </pic:blipFill>
                  <pic:spPr>
                    <a:xfrm>
                      <a:off x="0" y="0"/>
                      <a:ext cx="5273040" cy="7095490"/>
                    </a:xfrm>
                    <a:prstGeom prst="rect">
                      <a:avLst/>
                    </a:prstGeom>
                    <a:noFill/>
                    <a:ln>
                      <a:noFill/>
                    </a:ln>
                  </pic:spPr>
                </pic:pic>
              </a:graphicData>
            </a:graphic>
          </wp:inline>
        </w:drawing>
      </w:r>
    </w:p>
    <w:p>
      <w:r>
        <w:rPr>
          <w:rFonts w:hint="eastAsia"/>
        </w:rPr>
        <w:t>流程描述：</w:t>
      </w:r>
    </w:p>
    <w:p>
      <w:pPr>
        <w:numPr>
          <w:ilvl w:val="0"/>
          <w:numId w:val="1"/>
        </w:numPr>
        <w:jc w:val="left"/>
      </w:pPr>
      <w:r>
        <w:rPr>
          <w:rFonts w:hint="eastAsia"/>
        </w:rPr>
        <w:t>【用户登录】：用户打开一体化管理系统登录页，输入用户名、密码、验证码登录后台</w:t>
      </w:r>
    </w:p>
    <w:p>
      <w:pPr>
        <w:numPr>
          <w:ilvl w:val="0"/>
          <w:numId w:val="1"/>
        </w:numPr>
        <w:jc w:val="left"/>
      </w:pPr>
      <w:r>
        <w:rPr>
          <w:rFonts w:hint="eastAsia"/>
        </w:rPr>
        <w:t>【选择办理的业务】点击“诚信管理”模块进入系统</w:t>
      </w:r>
    </w:p>
    <w:p>
      <w:pPr>
        <w:numPr>
          <w:ilvl w:val="0"/>
          <w:numId w:val="1"/>
        </w:numPr>
        <w:jc w:val="left"/>
      </w:pPr>
      <w:r>
        <w:rPr>
          <w:rFonts w:hint="eastAsia"/>
        </w:rPr>
        <w:t>【是否提交企业基本信息】：企业需先完成提交企业基本信息流程才可进入诚信管理模块</w:t>
      </w:r>
    </w:p>
    <w:p>
      <w:pPr>
        <w:pStyle w:val="2"/>
        <w:numPr>
          <w:ilvl w:val="0"/>
          <w:numId w:val="2"/>
        </w:numPr>
      </w:pPr>
      <w:bookmarkStart w:id="1" w:name="_Toc13344"/>
      <w:r>
        <w:rPr>
          <w:rFonts w:hint="eastAsia"/>
        </w:rPr>
        <w:t>各模块操作使用说明</w:t>
      </w:r>
      <w:bookmarkEnd w:id="1"/>
    </w:p>
    <w:p>
      <w:pPr>
        <w:pStyle w:val="3"/>
      </w:pPr>
      <w:bookmarkStart w:id="2" w:name="_Toc1213"/>
      <w:r>
        <w:rPr>
          <w:rFonts w:hint="eastAsia"/>
        </w:rPr>
        <w:t>2.1用户登录</w:t>
      </w:r>
      <w:bookmarkEnd w:id="2"/>
    </w:p>
    <w:p>
      <w:pPr>
        <w:pStyle w:val="4"/>
      </w:pPr>
      <w:bookmarkStart w:id="3" w:name="_Toc14153"/>
      <w:r>
        <w:rPr>
          <w:rFonts w:hint="eastAsia"/>
        </w:rPr>
        <w:t>2.1.1登录平台</w:t>
      </w:r>
      <w:bookmarkEnd w:id="3"/>
    </w:p>
    <w:p>
      <w:pPr>
        <w:jc w:val="left"/>
      </w:pPr>
      <w:r>
        <w:rPr>
          <w:rFonts w:hint="eastAsia"/>
        </w:rPr>
        <w:t>进入云南省建筑市场监管与诚信信息网一体化管理平台 （</w:t>
      </w:r>
      <w:r>
        <w:rPr>
          <w:rFonts w:hint="eastAsia" w:ascii="微软雅黑" w:hAnsi="微软雅黑" w:eastAsia="微软雅黑" w:cs="微软雅黑"/>
          <w:sz w:val="16"/>
          <w:szCs w:val="16"/>
        </w:rPr>
        <w:t>https://yth.ynjzjgcx.com/html/login.html</w:t>
      </w:r>
      <w:r>
        <w:rPr>
          <w:rFonts w:hint="eastAsia"/>
        </w:rPr>
        <w:t>）</w:t>
      </w:r>
      <w:r>
        <w:drawing>
          <wp:inline distT="0" distB="0" distL="114300" distR="114300">
            <wp:extent cx="5266690" cy="2515235"/>
            <wp:effectExtent l="0" t="0" r="10160" b="18415"/>
            <wp:docPr id="2"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true"/>
                    </pic:cNvPicPr>
                  </pic:nvPicPr>
                  <pic:blipFill>
                    <a:blip r:embed="rId5"/>
                    <a:stretch>
                      <a:fillRect/>
                    </a:stretch>
                  </pic:blipFill>
                  <pic:spPr>
                    <a:xfrm>
                      <a:off x="0" y="0"/>
                      <a:ext cx="5266690" cy="2515235"/>
                    </a:xfrm>
                    <a:prstGeom prst="rect">
                      <a:avLst/>
                    </a:prstGeom>
                    <a:noFill/>
                    <a:ln>
                      <a:noFill/>
                    </a:ln>
                  </pic:spPr>
                </pic:pic>
              </a:graphicData>
            </a:graphic>
          </wp:inline>
        </w:drawing>
      </w:r>
    </w:p>
    <w:p>
      <w:pPr>
        <w:jc w:val="left"/>
      </w:pPr>
      <w:r>
        <w:rPr>
          <w:rFonts w:hint="eastAsia"/>
        </w:rPr>
        <w:t>【用户登录】：用户打开一体化管理系统登录页，输入用户名、密码、验证码登录后台</w:t>
      </w:r>
    </w:p>
    <w:p>
      <w:pPr>
        <w:jc w:val="left"/>
      </w:pPr>
      <w:r>
        <w:rPr>
          <w:rFonts w:hint="eastAsia"/>
        </w:rPr>
        <w:drawing>
          <wp:inline distT="0" distB="0" distL="114300" distR="114300">
            <wp:extent cx="5262880" cy="2635250"/>
            <wp:effectExtent l="0" t="0" r="13970" b="12700"/>
            <wp:docPr id="3" name="图片 14" descr="162607871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4" descr="1626078719(1)"/>
                    <pic:cNvPicPr>
                      <a:picLocks noChangeAspect="true"/>
                    </pic:cNvPicPr>
                  </pic:nvPicPr>
                  <pic:blipFill>
                    <a:blip r:embed="rId6"/>
                    <a:stretch>
                      <a:fillRect/>
                    </a:stretch>
                  </pic:blipFill>
                  <pic:spPr>
                    <a:xfrm>
                      <a:off x="0" y="0"/>
                      <a:ext cx="5262880" cy="2635250"/>
                    </a:xfrm>
                    <a:prstGeom prst="rect">
                      <a:avLst/>
                    </a:prstGeom>
                    <a:noFill/>
                    <a:ln>
                      <a:noFill/>
                    </a:ln>
                  </pic:spPr>
                </pic:pic>
              </a:graphicData>
            </a:graphic>
          </wp:inline>
        </w:drawing>
      </w:r>
    </w:p>
    <w:p>
      <w:pPr>
        <w:jc w:val="left"/>
      </w:pPr>
      <w:r>
        <w:rPr>
          <w:rFonts w:hint="eastAsia"/>
        </w:rPr>
        <w:t>【选择办理的业务】点击诚信管理模块，进入系统后台</w:t>
      </w:r>
    </w:p>
    <w:p>
      <w:pPr>
        <w:jc w:val="left"/>
      </w:pPr>
    </w:p>
    <w:p>
      <w:pPr>
        <w:jc w:val="left"/>
      </w:pPr>
    </w:p>
    <w:p>
      <w:pPr>
        <w:pStyle w:val="4"/>
      </w:pPr>
      <w:bookmarkStart w:id="4" w:name="_Toc13674"/>
      <w:r>
        <w:rPr>
          <w:rFonts w:hint="eastAsia"/>
        </w:rPr>
        <w:t>2.</w:t>
      </w:r>
      <w:r>
        <w:t>1.2 平台菜单</w:t>
      </w:r>
      <w:bookmarkEnd w:id="4"/>
    </w:p>
    <w:p>
      <w:pPr>
        <w:rPr>
          <w:rFonts w:ascii="宋体" w:hAnsi="宋体" w:eastAsia="宋体" w:cs="宋体"/>
          <w:sz w:val="24"/>
        </w:rPr>
      </w:pPr>
      <w:r>
        <w:rPr>
          <w:rFonts w:ascii="宋体" w:hAnsi="宋体" w:eastAsia="宋体" w:cs="宋体"/>
          <w:sz w:val="24"/>
        </w:rPr>
        <w:t>登录成功进入系统首页，首页包含通知公告、待办事项、操作日志等内容</w:t>
      </w:r>
    </w:p>
    <w:p>
      <w:r>
        <w:drawing>
          <wp:inline distT="0" distB="0" distL="114300" distR="114300">
            <wp:extent cx="5274310" cy="2571115"/>
            <wp:effectExtent l="0" t="0" r="2540" b="635"/>
            <wp:docPr id="4"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true"/>
                    </pic:cNvPicPr>
                  </pic:nvPicPr>
                  <pic:blipFill>
                    <a:blip r:embed="rId7"/>
                    <a:stretch>
                      <a:fillRect/>
                    </a:stretch>
                  </pic:blipFill>
                  <pic:spPr>
                    <a:xfrm>
                      <a:off x="0" y="0"/>
                      <a:ext cx="5274310" cy="2571115"/>
                    </a:xfrm>
                    <a:prstGeom prst="rect">
                      <a:avLst/>
                    </a:prstGeom>
                    <a:noFill/>
                    <a:ln>
                      <a:noFill/>
                    </a:ln>
                  </pic:spPr>
                </pic:pic>
              </a:graphicData>
            </a:graphic>
          </wp:inline>
        </w:drawing>
      </w:r>
    </w:p>
    <w:p>
      <w:pPr>
        <w:rPr>
          <w:rFonts w:ascii="宋体" w:hAnsi="宋体" w:eastAsia="宋体" w:cs="宋体"/>
          <w:sz w:val="24"/>
        </w:rPr>
      </w:pPr>
    </w:p>
    <w:p>
      <w:pPr>
        <w:rPr>
          <w:rFonts w:ascii="宋体" w:hAnsi="宋体" w:eastAsia="宋体" w:cs="宋体"/>
          <w:sz w:val="24"/>
        </w:rPr>
      </w:pPr>
      <w:r>
        <w:rPr>
          <w:rFonts w:ascii="宋体" w:hAnsi="宋体" w:eastAsia="宋体" w:cs="宋体"/>
          <w:sz w:val="24"/>
        </w:rPr>
        <w:t>可由左侧菜单</w:t>
      </w:r>
      <w:r>
        <w:rPr>
          <w:rFonts w:hint="eastAsia" w:ascii="宋体" w:hAnsi="宋体" w:eastAsia="宋体" w:cs="宋体"/>
          <w:sz w:val="24"/>
        </w:rPr>
        <w:t>或首页诚信管理面板进入</w:t>
      </w:r>
      <w:r>
        <w:rPr>
          <w:rFonts w:ascii="宋体" w:hAnsi="宋体" w:eastAsia="宋体" w:cs="宋体"/>
          <w:sz w:val="24"/>
        </w:rPr>
        <w:t>进入“诚信管理”</w:t>
      </w:r>
      <w:r>
        <w:rPr>
          <w:rFonts w:hint="eastAsia" w:ascii="宋体" w:hAnsi="宋体" w:eastAsia="宋体" w:cs="宋体"/>
          <w:sz w:val="24"/>
        </w:rPr>
        <w:t>模块</w:t>
      </w:r>
    </w:p>
    <w:p>
      <w:r>
        <w:drawing>
          <wp:inline distT="0" distB="0" distL="114300" distR="114300">
            <wp:extent cx="5274310" cy="2560955"/>
            <wp:effectExtent l="0" t="0" r="2540" b="10795"/>
            <wp:docPr id="5"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true"/>
                    </pic:cNvPicPr>
                  </pic:nvPicPr>
                  <pic:blipFill>
                    <a:blip r:embed="rId8"/>
                    <a:stretch>
                      <a:fillRect/>
                    </a:stretch>
                  </pic:blipFill>
                  <pic:spPr>
                    <a:xfrm>
                      <a:off x="0" y="0"/>
                      <a:ext cx="5274310" cy="2560955"/>
                    </a:xfrm>
                    <a:prstGeom prst="rect">
                      <a:avLst/>
                    </a:prstGeom>
                    <a:noFill/>
                    <a:ln>
                      <a:noFill/>
                    </a:ln>
                  </pic:spPr>
                </pic:pic>
              </a:graphicData>
            </a:graphic>
          </wp:inline>
        </w:drawing>
      </w:r>
    </w:p>
    <w:p>
      <w:pPr>
        <w:rPr>
          <w:rFonts w:eastAsia="黑体"/>
        </w:rPr>
      </w:pPr>
    </w:p>
    <w:p>
      <w:pPr>
        <w:pStyle w:val="3"/>
      </w:pPr>
      <w:bookmarkStart w:id="5" w:name="_Toc12523"/>
      <w:r>
        <w:rPr>
          <w:rFonts w:hint="eastAsia"/>
        </w:rPr>
        <w:t>2.2企业诚信评分查询</w:t>
      </w:r>
      <w:bookmarkEnd w:id="5"/>
    </w:p>
    <w:p>
      <w:r>
        <w:rPr>
          <w:rFonts w:hint="eastAsia"/>
        </w:rPr>
        <w:t>企业诚信评分查询模块用于主管部门查询所负责辖区的企业的诚信评分及记录。</w:t>
      </w:r>
    </w:p>
    <w:p>
      <w:pPr>
        <w:pStyle w:val="4"/>
      </w:pPr>
      <w:bookmarkStart w:id="6" w:name="_Toc30509"/>
      <w:r>
        <w:rPr>
          <w:rFonts w:hint="eastAsia"/>
        </w:rPr>
        <w:t>2.2.1进入路径</w:t>
      </w:r>
      <w:bookmarkEnd w:id="6"/>
    </w:p>
    <w:p>
      <w:r>
        <w:rPr>
          <w:rFonts w:hint="eastAsia"/>
        </w:rPr>
        <w:t>点击左侧菜单“诚信管理-企业诚信评分查询”进入该模块</w:t>
      </w:r>
    </w:p>
    <w:p>
      <w:r>
        <w:drawing>
          <wp:inline distT="0" distB="0" distL="114300" distR="114300">
            <wp:extent cx="5266690" cy="2493645"/>
            <wp:effectExtent l="0" t="0" r="10160" b="1905"/>
            <wp:docPr id="6"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5"/>
                    <pic:cNvPicPr>
                      <a:picLocks noChangeAspect="true"/>
                    </pic:cNvPicPr>
                  </pic:nvPicPr>
                  <pic:blipFill>
                    <a:blip r:embed="rId9"/>
                    <a:stretch>
                      <a:fillRect/>
                    </a:stretch>
                  </pic:blipFill>
                  <pic:spPr>
                    <a:xfrm>
                      <a:off x="0" y="0"/>
                      <a:ext cx="5266690" cy="2493645"/>
                    </a:xfrm>
                    <a:prstGeom prst="rect">
                      <a:avLst/>
                    </a:prstGeom>
                    <a:noFill/>
                    <a:ln>
                      <a:noFill/>
                    </a:ln>
                  </pic:spPr>
                </pic:pic>
              </a:graphicData>
            </a:graphic>
          </wp:inline>
        </w:drawing>
      </w:r>
    </w:p>
    <w:p>
      <w:pPr>
        <w:rPr>
          <w:rFonts w:ascii="宋体" w:hAnsi="宋体" w:eastAsia="宋体" w:cs="宋体"/>
          <w:sz w:val="24"/>
        </w:rPr>
      </w:pPr>
      <w:r>
        <w:rPr>
          <w:rFonts w:ascii="宋体" w:hAnsi="宋体" w:eastAsia="宋体" w:cs="宋体"/>
          <w:sz w:val="24"/>
        </w:rPr>
        <w:t>列表可执行的操作：</w:t>
      </w:r>
    </w:p>
    <w:p>
      <w:r>
        <w:rPr>
          <w:rFonts w:hint="eastAsia"/>
        </w:rPr>
        <w:t>◼ 刷新：刷新列表内容</w:t>
      </w:r>
    </w:p>
    <w:p>
      <w:r>
        <w:rPr>
          <w:rFonts w:hint="eastAsia"/>
        </w:rPr>
        <w:t>◼ 详细：打开详细页面，查看记录详情</w:t>
      </w:r>
    </w:p>
    <w:p/>
    <w:p>
      <w:pPr>
        <w:pStyle w:val="4"/>
      </w:pPr>
      <w:bookmarkStart w:id="7" w:name="_Toc27337"/>
      <w:r>
        <w:rPr>
          <w:rFonts w:hint="eastAsia"/>
        </w:rPr>
        <w:t>2.2.2详情页说明</w:t>
      </w:r>
      <w:bookmarkEnd w:id="7"/>
    </w:p>
    <w:p>
      <w:pPr>
        <w:pStyle w:val="5"/>
      </w:pPr>
      <w:r>
        <w:rPr>
          <w:rFonts w:hint="eastAsia"/>
        </w:rPr>
        <w:t>2.2.2.1企业信息tab页面</w:t>
      </w:r>
    </w:p>
    <w:p>
      <w:r>
        <w:rPr>
          <w:rFonts w:hint="eastAsia"/>
        </w:rPr>
        <w:t>该页面用于查看该企业的企业基本信息。</w:t>
      </w:r>
    </w:p>
    <w:p>
      <w:r>
        <w:drawing>
          <wp:inline distT="0" distB="0" distL="114300" distR="114300">
            <wp:extent cx="5274310" cy="2491740"/>
            <wp:effectExtent l="0" t="0" r="2540" b="3810"/>
            <wp:docPr id="7"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true"/>
                    </pic:cNvPicPr>
                  </pic:nvPicPr>
                  <pic:blipFill>
                    <a:blip r:embed="rId10"/>
                    <a:stretch>
                      <a:fillRect/>
                    </a:stretch>
                  </pic:blipFill>
                  <pic:spPr>
                    <a:xfrm>
                      <a:off x="0" y="0"/>
                      <a:ext cx="5274310" cy="2491740"/>
                    </a:xfrm>
                    <a:prstGeom prst="rect">
                      <a:avLst/>
                    </a:prstGeom>
                    <a:noFill/>
                    <a:ln>
                      <a:noFill/>
                    </a:ln>
                  </pic:spPr>
                </pic:pic>
              </a:graphicData>
            </a:graphic>
          </wp:inline>
        </w:drawing>
      </w:r>
    </w:p>
    <w:p>
      <w:pPr>
        <w:pStyle w:val="5"/>
      </w:pPr>
      <w:r>
        <w:rPr>
          <w:rFonts w:hint="eastAsia"/>
        </w:rPr>
        <w:t>2.2.2.2诚信评分tab页面</w:t>
      </w:r>
    </w:p>
    <w:p>
      <w:r>
        <w:rPr>
          <w:rFonts w:hint="eastAsia"/>
        </w:rPr>
        <w:t>该页面用于查看该企业该评分周期的诚信评分数据。</w:t>
      </w:r>
    </w:p>
    <w:p>
      <w:r>
        <w:drawing>
          <wp:inline distT="0" distB="0" distL="114300" distR="114300">
            <wp:extent cx="5266690" cy="2493645"/>
            <wp:effectExtent l="0" t="0" r="10160" b="1905"/>
            <wp:docPr id="8"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27"/>
                    <pic:cNvPicPr>
                      <a:picLocks noChangeAspect="true"/>
                    </pic:cNvPicPr>
                  </pic:nvPicPr>
                  <pic:blipFill>
                    <a:blip r:embed="rId11"/>
                    <a:stretch>
                      <a:fillRect/>
                    </a:stretch>
                  </pic:blipFill>
                  <pic:spPr>
                    <a:xfrm>
                      <a:off x="0" y="0"/>
                      <a:ext cx="5266690" cy="2493645"/>
                    </a:xfrm>
                    <a:prstGeom prst="rect">
                      <a:avLst/>
                    </a:prstGeom>
                    <a:noFill/>
                    <a:ln>
                      <a:noFill/>
                    </a:ln>
                  </pic:spPr>
                </pic:pic>
              </a:graphicData>
            </a:graphic>
          </wp:inline>
        </w:drawing>
      </w:r>
    </w:p>
    <w:p>
      <w:pPr>
        <w:rPr>
          <w:rFonts w:ascii="宋体" w:hAnsi="宋体" w:eastAsia="宋体" w:cs="宋体"/>
          <w:sz w:val="24"/>
        </w:rPr>
      </w:pPr>
      <w:r>
        <w:rPr>
          <w:rFonts w:ascii="宋体" w:hAnsi="宋体" w:eastAsia="宋体" w:cs="宋体"/>
          <w:sz w:val="24"/>
        </w:rPr>
        <w:t>列表可执行的操作：</w:t>
      </w:r>
    </w:p>
    <w:p>
      <w:r>
        <w:rPr>
          <w:rFonts w:hint="eastAsia"/>
        </w:rPr>
        <w:t>◼ 查看详情：打开对应指标的详细页面，查看指标参与算分记录的详情。</w:t>
      </w:r>
    </w:p>
    <w:p/>
    <w:p>
      <w:pPr>
        <w:pStyle w:val="3"/>
      </w:pPr>
      <w:bookmarkStart w:id="8" w:name="_Toc10942"/>
      <w:r>
        <w:rPr>
          <w:rFonts w:hint="eastAsia"/>
        </w:rPr>
        <w:t>2.3企业通常行为</w:t>
      </w:r>
      <w:bookmarkEnd w:id="8"/>
    </w:p>
    <w:p>
      <w:pPr>
        <w:pStyle w:val="4"/>
      </w:pPr>
      <w:bookmarkStart w:id="9" w:name="_Toc4279"/>
      <w:r>
        <w:rPr>
          <w:rFonts w:hint="eastAsia"/>
        </w:rPr>
        <w:t>2.3.1经济指标</w:t>
      </w:r>
      <w:bookmarkEnd w:id="9"/>
    </w:p>
    <w:p>
      <w:r>
        <w:rPr>
          <w:rFonts w:hint="eastAsia"/>
        </w:rPr>
        <w:t>经济指标模块仅用于查询当前登录账号主管部门辖区内企业的经济指标数据。评分时系统根据“企业产值营收填报”模块已上报的季报数据自动排名计算得分。需要注意以下几点：</w:t>
      </w:r>
    </w:p>
    <w:p>
      <w:r>
        <w:rPr>
          <w:rFonts w:hint="eastAsia"/>
        </w:rPr>
        <w:t>1.仅限注册所在地省份为云南省的企业可参与经济指标省外排名；</w:t>
      </w:r>
    </w:p>
    <w:p>
      <w:r>
        <w:rPr>
          <w:rFonts w:hint="eastAsia"/>
        </w:rPr>
        <w:t>2.排名为同类企业排名，如产值营收模块填报的监理的营收仅和其他监理企业营收排名；</w:t>
      </w:r>
    </w:p>
    <w:p>
      <w:r>
        <w:rPr>
          <w:rFonts w:hint="eastAsia"/>
        </w:rPr>
        <w:t>3.最终参与评分的省内/省外排名，均取企业排名最高的企业类型的排名；</w:t>
      </w:r>
    </w:p>
    <w:p>
      <w:pPr>
        <w:pStyle w:val="5"/>
      </w:pPr>
      <w:r>
        <w:rPr>
          <w:rFonts w:hint="eastAsia"/>
        </w:rPr>
        <w:t>2.3.1.1进入路径</w:t>
      </w:r>
    </w:p>
    <w:p>
      <w:r>
        <w:rPr>
          <w:rFonts w:hint="eastAsia"/>
        </w:rPr>
        <w:t>点击左侧菜单“诚信管理-企业通常行为-企业经济指标”进入该模块</w:t>
      </w:r>
    </w:p>
    <w:p>
      <w:r>
        <w:drawing>
          <wp:inline distT="0" distB="0" distL="114300" distR="114300">
            <wp:extent cx="5266690" cy="2570480"/>
            <wp:effectExtent l="0" t="0" r="10160" b="1270"/>
            <wp:docPr id="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true"/>
                    </pic:cNvPicPr>
                  </pic:nvPicPr>
                  <pic:blipFill>
                    <a:blip r:embed="rId12"/>
                    <a:stretch>
                      <a:fillRect/>
                    </a:stretch>
                  </pic:blipFill>
                  <pic:spPr>
                    <a:xfrm>
                      <a:off x="0" y="0"/>
                      <a:ext cx="5266690" cy="2570480"/>
                    </a:xfrm>
                    <a:prstGeom prst="rect">
                      <a:avLst/>
                    </a:prstGeom>
                    <a:noFill/>
                    <a:ln>
                      <a:noFill/>
                    </a:ln>
                  </pic:spPr>
                </pic:pic>
              </a:graphicData>
            </a:graphic>
          </wp:inline>
        </w:drawing>
      </w:r>
    </w:p>
    <w:p>
      <w:pPr>
        <w:rPr>
          <w:rFonts w:ascii="宋体" w:hAnsi="宋体" w:eastAsia="宋体" w:cs="宋体"/>
          <w:sz w:val="24"/>
        </w:rPr>
      </w:pPr>
      <w:r>
        <w:rPr>
          <w:rFonts w:ascii="宋体" w:hAnsi="宋体" w:eastAsia="宋体" w:cs="宋体"/>
          <w:sz w:val="24"/>
        </w:rPr>
        <w:t>列表可执行的操作：</w:t>
      </w:r>
    </w:p>
    <w:p>
      <w:r>
        <w:rPr>
          <w:rFonts w:hint="eastAsia"/>
        </w:rPr>
        <w:t>◼ 刷新：刷新列表内容</w:t>
      </w:r>
    </w:p>
    <w:p>
      <w:r>
        <w:rPr>
          <w:rFonts w:hint="eastAsia"/>
        </w:rPr>
        <w:t>◼ 详细：打开详细页面，查看记录详情</w:t>
      </w:r>
    </w:p>
    <w:p>
      <w:pPr>
        <w:pStyle w:val="4"/>
      </w:pPr>
      <w:bookmarkStart w:id="10" w:name="_Toc19121"/>
      <w:r>
        <w:rPr>
          <w:rFonts w:hint="eastAsia"/>
        </w:rPr>
        <w:t>2.3.2企业纳税等级</w:t>
      </w:r>
      <w:bookmarkEnd w:id="10"/>
    </w:p>
    <w:p>
      <w:r>
        <w:rPr>
          <w:rFonts w:hint="eastAsia"/>
        </w:rPr>
        <w:t>企业纳税等级用于查询当前登录账号主管部门辖区内企业填报的企业纳税等级信息，</w:t>
      </w:r>
      <w:r>
        <w:t>纳税等级为企业上一年在云南省行政区域内的纳税信用等级，须与税务系统生成的纳税信用等级保持一致。纳税信用等级为A级，得5分；纳税信用等级为B级，得4分；纳税信用等级为M级，得3分；纳税信用等级为C级，得2分；纳税信用等级为D级及无纳税信用等级评价的不得分。</w:t>
      </w:r>
    </w:p>
    <w:p>
      <w:pPr>
        <w:pStyle w:val="5"/>
      </w:pPr>
      <w:r>
        <w:rPr>
          <w:rFonts w:hint="eastAsia"/>
        </w:rPr>
        <w:t>2.3.2.1进入路径</w:t>
      </w:r>
    </w:p>
    <w:p>
      <w:r>
        <w:rPr>
          <w:rFonts w:hint="eastAsia"/>
        </w:rPr>
        <w:t>点击左侧菜单“诚信管理-企业通常行为-企业纳税等级”进入该模块。</w:t>
      </w:r>
    </w:p>
    <w:p>
      <w:r>
        <w:drawing>
          <wp:inline distT="0" distB="0" distL="114300" distR="114300">
            <wp:extent cx="5266690" cy="2493645"/>
            <wp:effectExtent l="0" t="0" r="10160" b="1905"/>
            <wp:docPr id="1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true"/>
                    </pic:cNvPicPr>
                  </pic:nvPicPr>
                  <pic:blipFill>
                    <a:blip r:embed="rId13"/>
                    <a:stretch>
                      <a:fillRect/>
                    </a:stretch>
                  </pic:blipFill>
                  <pic:spPr>
                    <a:xfrm>
                      <a:off x="0" y="0"/>
                      <a:ext cx="5266690" cy="2493645"/>
                    </a:xfrm>
                    <a:prstGeom prst="rect">
                      <a:avLst/>
                    </a:prstGeom>
                    <a:noFill/>
                    <a:ln>
                      <a:noFill/>
                    </a:ln>
                  </pic:spPr>
                </pic:pic>
              </a:graphicData>
            </a:graphic>
          </wp:inline>
        </w:drawing>
      </w:r>
    </w:p>
    <w:p>
      <w:pPr>
        <w:rPr>
          <w:rFonts w:ascii="宋体" w:hAnsi="宋体" w:eastAsia="宋体" w:cs="宋体"/>
          <w:sz w:val="24"/>
        </w:rPr>
      </w:pPr>
      <w:r>
        <w:rPr>
          <w:rFonts w:ascii="宋体" w:hAnsi="宋体" w:eastAsia="宋体" w:cs="宋体"/>
          <w:sz w:val="24"/>
        </w:rPr>
        <w:t>列表可执行的操作：</w:t>
      </w:r>
    </w:p>
    <w:p>
      <w:pPr>
        <w:ind w:firstLine="240" w:firstLineChars="100"/>
        <w:rPr>
          <w:rFonts w:ascii="宋体" w:hAnsi="宋体" w:eastAsia="宋体" w:cs="宋体"/>
          <w:sz w:val="24"/>
        </w:rPr>
      </w:pPr>
      <w:r>
        <w:rPr>
          <w:rFonts w:ascii="宋体" w:hAnsi="宋体" w:eastAsia="宋体" w:cs="宋体"/>
          <w:sz w:val="24"/>
        </w:rPr>
        <w:t>◼ 刷新：</w:t>
      </w:r>
      <w:r>
        <w:rPr>
          <w:rFonts w:hint="eastAsia" w:ascii="宋体" w:hAnsi="宋体" w:eastAsia="宋体" w:cs="宋体"/>
          <w:sz w:val="24"/>
        </w:rPr>
        <w:t>刷新纳税总额</w:t>
      </w:r>
      <w:r>
        <w:rPr>
          <w:rFonts w:ascii="宋体" w:hAnsi="宋体" w:eastAsia="宋体" w:cs="宋体"/>
          <w:sz w:val="24"/>
        </w:rPr>
        <w:t>列表内容</w:t>
      </w:r>
    </w:p>
    <w:p>
      <w:pPr>
        <w:ind w:firstLine="240" w:firstLineChars="100"/>
        <w:rPr>
          <w:rFonts w:ascii="宋体" w:hAnsi="宋体" w:eastAsia="宋体" w:cs="宋体"/>
          <w:sz w:val="24"/>
        </w:rPr>
      </w:pPr>
      <w:r>
        <w:rPr>
          <w:rFonts w:ascii="宋体" w:hAnsi="宋体" w:eastAsia="宋体" w:cs="宋体"/>
          <w:sz w:val="24"/>
        </w:rPr>
        <w:t xml:space="preserve">◼ </w:t>
      </w:r>
      <w:r>
        <w:rPr>
          <w:rFonts w:hint="eastAsia" w:ascii="宋体" w:hAnsi="宋体" w:eastAsia="宋体" w:cs="宋体"/>
          <w:sz w:val="24"/>
        </w:rPr>
        <w:t>详细</w:t>
      </w:r>
      <w:r>
        <w:rPr>
          <w:rFonts w:ascii="宋体" w:hAnsi="宋体" w:eastAsia="宋体" w:cs="宋体"/>
          <w:sz w:val="24"/>
        </w:rPr>
        <w:t>：</w:t>
      </w:r>
      <w:r>
        <w:rPr>
          <w:rFonts w:hint="eastAsia" w:ascii="宋体" w:hAnsi="宋体" w:eastAsia="宋体" w:cs="宋体"/>
          <w:sz w:val="24"/>
        </w:rPr>
        <w:t>打开详细页面，查看记录详情</w:t>
      </w:r>
    </w:p>
    <w:p>
      <w:pPr>
        <w:jc w:val="left"/>
      </w:pPr>
    </w:p>
    <w:p>
      <w:pPr>
        <w:jc w:val="left"/>
      </w:pPr>
      <w:r>
        <w:drawing>
          <wp:inline distT="0" distB="0" distL="114300" distR="114300">
            <wp:extent cx="5266690" cy="2493645"/>
            <wp:effectExtent l="0" t="0" r="10160" b="1905"/>
            <wp:docPr id="11"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true"/>
                    </pic:cNvPicPr>
                  </pic:nvPicPr>
                  <pic:blipFill>
                    <a:blip r:embed="rId14"/>
                    <a:stretch>
                      <a:fillRect/>
                    </a:stretch>
                  </pic:blipFill>
                  <pic:spPr>
                    <a:xfrm>
                      <a:off x="0" y="0"/>
                      <a:ext cx="5266690" cy="2493645"/>
                    </a:xfrm>
                    <a:prstGeom prst="rect">
                      <a:avLst/>
                    </a:prstGeom>
                    <a:noFill/>
                    <a:ln>
                      <a:noFill/>
                    </a:ln>
                  </pic:spPr>
                </pic:pic>
              </a:graphicData>
            </a:graphic>
          </wp:inline>
        </w:drawing>
      </w:r>
    </w:p>
    <w:p>
      <w:pPr>
        <w:jc w:val="center"/>
        <w:rPr>
          <w:sz w:val="16"/>
          <w:szCs w:val="20"/>
        </w:rPr>
      </w:pPr>
      <w:r>
        <w:rPr>
          <w:rFonts w:hint="eastAsia"/>
          <w:sz w:val="16"/>
          <w:szCs w:val="20"/>
        </w:rPr>
        <w:t>（“纳税等级”详细页面）</w:t>
      </w:r>
    </w:p>
    <w:p>
      <w:pPr>
        <w:pStyle w:val="4"/>
      </w:pPr>
      <w:bookmarkStart w:id="11" w:name="_Toc194"/>
      <w:r>
        <w:rPr>
          <w:rFonts w:hint="eastAsia"/>
        </w:rPr>
        <w:t>2.3.3良好信息</w:t>
      </w:r>
      <w:bookmarkEnd w:id="11"/>
    </w:p>
    <w:p>
      <w:r>
        <w:rPr>
          <w:rFonts w:hint="eastAsia"/>
        </w:rPr>
        <w:t>诚信管理-良好信息模块用于查询当前登录账号主管部门辖区内企业填报的本企业各企业类型的获奖信息，企业良好信息得分=各企业类型良好信息得分之和。</w:t>
      </w:r>
    </w:p>
    <w:p>
      <w:pPr>
        <w:pStyle w:val="5"/>
      </w:pPr>
      <w:r>
        <w:rPr>
          <w:rFonts w:hint="eastAsia"/>
        </w:rPr>
        <w:t>2.3.3.1进入路径</w:t>
      </w:r>
    </w:p>
    <w:p>
      <w:r>
        <w:rPr>
          <w:rFonts w:hint="eastAsia"/>
        </w:rPr>
        <w:t>点击左侧菜单“诚信管理-企业通常行为-企业良好信息”进入该模块。</w:t>
      </w:r>
    </w:p>
    <w:p>
      <w:r>
        <w:drawing>
          <wp:inline distT="0" distB="0" distL="114300" distR="114300">
            <wp:extent cx="5274310" cy="2496820"/>
            <wp:effectExtent l="0" t="0" r="2540" b="17780"/>
            <wp:docPr id="12"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true"/>
                    </pic:cNvPicPr>
                  </pic:nvPicPr>
                  <pic:blipFill>
                    <a:blip r:embed="rId15"/>
                    <a:stretch>
                      <a:fillRect/>
                    </a:stretch>
                  </pic:blipFill>
                  <pic:spPr>
                    <a:xfrm>
                      <a:off x="0" y="0"/>
                      <a:ext cx="5274310" cy="2496820"/>
                    </a:xfrm>
                    <a:prstGeom prst="rect">
                      <a:avLst/>
                    </a:prstGeom>
                    <a:noFill/>
                    <a:ln>
                      <a:noFill/>
                    </a:ln>
                  </pic:spPr>
                </pic:pic>
              </a:graphicData>
            </a:graphic>
          </wp:inline>
        </w:drawing>
      </w:r>
    </w:p>
    <w:p>
      <w:pPr>
        <w:rPr>
          <w:rFonts w:ascii="宋体" w:hAnsi="宋体" w:eastAsia="宋体" w:cs="宋体"/>
          <w:sz w:val="24"/>
        </w:rPr>
      </w:pPr>
      <w:r>
        <w:rPr>
          <w:rFonts w:ascii="宋体" w:hAnsi="宋体" w:eastAsia="宋体" w:cs="宋体"/>
          <w:sz w:val="24"/>
        </w:rPr>
        <w:t>列表可执行的操作：</w:t>
      </w:r>
    </w:p>
    <w:p>
      <w:pPr>
        <w:ind w:firstLine="240" w:firstLineChars="100"/>
        <w:rPr>
          <w:rFonts w:ascii="宋体" w:hAnsi="宋体" w:eastAsia="宋体" w:cs="宋体"/>
          <w:sz w:val="24"/>
        </w:rPr>
      </w:pPr>
      <w:r>
        <w:rPr>
          <w:rFonts w:ascii="宋体" w:hAnsi="宋体" w:eastAsia="宋体" w:cs="宋体"/>
          <w:sz w:val="24"/>
        </w:rPr>
        <w:t>◼ 刷新：</w:t>
      </w:r>
      <w:r>
        <w:rPr>
          <w:rFonts w:hint="eastAsia" w:ascii="宋体" w:hAnsi="宋体" w:eastAsia="宋体" w:cs="宋体"/>
          <w:sz w:val="24"/>
        </w:rPr>
        <w:t>刷新良好信息</w:t>
      </w:r>
      <w:r>
        <w:rPr>
          <w:rFonts w:ascii="宋体" w:hAnsi="宋体" w:eastAsia="宋体" w:cs="宋体"/>
          <w:sz w:val="24"/>
        </w:rPr>
        <w:t>列表内容</w:t>
      </w:r>
    </w:p>
    <w:p>
      <w:pPr>
        <w:ind w:firstLine="240" w:firstLineChars="100"/>
        <w:rPr>
          <w:lang w:val="zh-CN"/>
        </w:rPr>
      </w:pPr>
      <w:r>
        <w:rPr>
          <w:rFonts w:ascii="宋体" w:hAnsi="宋体" w:eastAsia="宋体" w:cs="宋体"/>
          <w:sz w:val="24"/>
        </w:rPr>
        <w:t xml:space="preserve">◼ </w:t>
      </w:r>
      <w:r>
        <w:rPr>
          <w:rFonts w:hint="eastAsia" w:ascii="宋体" w:hAnsi="宋体" w:eastAsia="宋体" w:cs="宋体"/>
          <w:sz w:val="24"/>
        </w:rPr>
        <w:t>详细</w:t>
      </w:r>
      <w:r>
        <w:rPr>
          <w:rFonts w:ascii="宋体" w:hAnsi="宋体" w:eastAsia="宋体" w:cs="宋体"/>
          <w:sz w:val="24"/>
        </w:rPr>
        <w:t>：</w:t>
      </w:r>
      <w:r>
        <w:rPr>
          <w:rFonts w:hint="eastAsia" w:ascii="宋体" w:hAnsi="宋体" w:eastAsia="宋体" w:cs="宋体"/>
          <w:sz w:val="24"/>
        </w:rPr>
        <w:t>打开详细页面，查看记录详情</w:t>
      </w:r>
    </w:p>
    <w:p>
      <w:pPr>
        <w:pStyle w:val="4"/>
      </w:pPr>
      <w:bookmarkStart w:id="12" w:name="_Toc31623"/>
      <w:bookmarkStart w:id="13" w:name="_Toc31405"/>
      <w:r>
        <w:rPr>
          <w:rFonts w:hint="eastAsia"/>
        </w:rPr>
        <w:t>2.3.4职工参保率及执业信息</w:t>
      </w:r>
      <w:bookmarkEnd w:id="12"/>
      <w:bookmarkEnd w:id="13"/>
    </w:p>
    <w:p>
      <w:r>
        <w:rPr>
          <w:rFonts w:hint="eastAsia"/>
        </w:rPr>
        <w:t>诚信管理-职工参保率及执业信息模块用于查询当前账号主管部门辖区内企业职工参保率和职工执业信息，该数据每日更新一次。</w:t>
      </w:r>
    </w:p>
    <w:p>
      <w:pPr>
        <w:pStyle w:val="5"/>
      </w:pPr>
      <w:r>
        <w:rPr>
          <w:rFonts w:hint="eastAsia"/>
        </w:rPr>
        <w:t>2.3.4.1进入路径</w:t>
      </w:r>
    </w:p>
    <w:p>
      <w:r>
        <w:rPr>
          <w:rFonts w:hint="eastAsia"/>
        </w:rPr>
        <w:t>点击左侧菜单“诚信管理-企业通常行为-职工参保率及执业信息”进入该模块。</w:t>
      </w:r>
    </w:p>
    <w:p>
      <w:r>
        <w:drawing>
          <wp:inline distT="0" distB="0" distL="114300" distR="114300">
            <wp:extent cx="5266690" cy="2493645"/>
            <wp:effectExtent l="0" t="0" r="10160" b="1905"/>
            <wp:docPr id="13"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29"/>
                    <pic:cNvPicPr>
                      <a:picLocks noChangeAspect="true"/>
                    </pic:cNvPicPr>
                  </pic:nvPicPr>
                  <pic:blipFill>
                    <a:blip r:embed="rId16"/>
                    <a:stretch>
                      <a:fillRect/>
                    </a:stretch>
                  </pic:blipFill>
                  <pic:spPr>
                    <a:xfrm>
                      <a:off x="0" y="0"/>
                      <a:ext cx="5266690" cy="2493645"/>
                    </a:xfrm>
                    <a:prstGeom prst="rect">
                      <a:avLst/>
                    </a:prstGeom>
                    <a:noFill/>
                    <a:ln>
                      <a:noFill/>
                    </a:ln>
                  </pic:spPr>
                </pic:pic>
              </a:graphicData>
            </a:graphic>
          </wp:inline>
        </w:drawing>
      </w:r>
    </w:p>
    <w:p>
      <w:pPr>
        <w:rPr>
          <w:rFonts w:ascii="宋体" w:hAnsi="宋体" w:eastAsia="宋体" w:cs="宋体"/>
          <w:szCs w:val="21"/>
        </w:rPr>
      </w:pPr>
      <w:r>
        <w:rPr>
          <w:rFonts w:ascii="宋体" w:hAnsi="宋体" w:eastAsia="宋体" w:cs="宋体"/>
          <w:szCs w:val="21"/>
        </w:rPr>
        <w:t>列表可执行的操作：</w:t>
      </w:r>
    </w:p>
    <w:p>
      <w:pPr>
        <w:ind w:firstLine="210" w:firstLineChars="100"/>
      </w:pPr>
      <w:r>
        <w:rPr>
          <w:rFonts w:ascii="宋体" w:hAnsi="宋体" w:eastAsia="宋体" w:cs="宋体"/>
          <w:szCs w:val="21"/>
        </w:rPr>
        <w:t>◼ 刷新：</w:t>
      </w:r>
      <w:r>
        <w:rPr>
          <w:rFonts w:hint="eastAsia" w:ascii="宋体" w:hAnsi="宋体" w:eastAsia="宋体" w:cs="宋体"/>
          <w:szCs w:val="21"/>
        </w:rPr>
        <w:t>刷新</w:t>
      </w:r>
      <w:r>
        <w:rPr>
          <w:rFonts w:ascii="宋体" w:hAnsi="宋体" w:eastAsia="宋体" w:cs="宋体"/>
          <w:szCs w:val="21"/>
        </w:rPr>
        <w:t>列表内容</w:t>
      </w:r>
    </w:p>
    <w:p>
      <w:pPr>
        <w:pStyle w:val="4"/>
      </w:pPr>
      <w:bookmarkStart w:id="14" w:name="_Toc6529"/>
      <w:r>
        <w:rPr>
          <w:rFonts w:hint="eastAsia"/>
        </w:rPr>
        <w:t>2.3.5第三方信用评价</w:t>
      </w:r>
      <w:bookmarkEnd w:id="14"/>
    </w:p>
    <w:p>
      <w:r>
        <w:rPr>
          <w:rFonts w:hint="eastAsia"/>
        </w:rPr>
        <w:t>诚信管理-第三方信用评价模块用于查询当前登录账号主管部门辖区内企业的信用评价数据，企业信用评价数据从云南省信用综合评级评价服务平台自动导入，该指标得分=企业信用综合指标得分/100*6。</w:t>
      </w:r>
    </w:p>
    <w:p>
      <w:pPr>
        <w:pStyle w:val="5"/>
      </w:pPr>
      <w:r>
        <w:rPr>
          <w:rFonts w:hint="eastAsia"/>
        </w:rPr>
        <w:t>2.3.5.1进入路径</w:t>
      </w:r>
    </w:p>
    <w:p>
      <w:r>
        <w:rPr>
          <w:rFonts w:hint="eastAsia"/>
        </w:rPr>
        <w:t>点击左侧菜单“诚信管理-企业通常行为-第三方信用评价”进入该模块</w:t>
      </w:r>
    </w:p>
    <w:p>
      <w:r>
        <w:drawing>
          <wp:inline distT="0" distB="0" distL="114300" distR="114300">
            <wp:extent cx="5274310" cy="2499995"/>
            <wp:effectExtent l="0" t="0" r="2540" b="14605"/>
            <wp:docPr id="1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true"/>
                    </pic:cNvPicPr>
                  </pic:nvPicPr>
                  <pic:blipFill>
                    <a:blip r:embed="rId17"/>
                    <a:stretch>
                      <a:fillRect/>
                    </a:stretch>
                  </pic:blipFill>
                  <pic:spPr>
                    <a:xfrm>
                      <a:off x="0" y="0"/>
                      <a:ext cx="5274310" cy="2499995"/>
                    </a:xfrm>
                    <a:prstGeom prst="rect">
                      <a:avLst/>
                    </a:prstGeom>
                    <a:noFill/>
                    <a:ln>
                      <a:noFill/>
                    </a:ln>
                  </pic:spPr>
                </pic:pic>
              </a:graphicData>
            </a:graphic>
          </wp:inline>
        </w:drawing>
      </w:r>
    </w:p>
    <w:p>
      <w:pPr>
        <w:rPr>
          <w:rFonts w:ascii="宋体" w:hAnsi="宋体" w:eastAsia="宋体" w:cs="宋体"/>
          <w:sz w:val="24"/>
        </w:rPr>
      </w:pPr>
      <w:r>
        <w:rPr>
          <w:rFonts w:ascii="宋体" w:hAnsi="宋体" w:eastAsia="宋体" w:cs="宋体"/>
          <w:sz w:val="24"/>
        </w:rPr>
        <w:t>列表可执行的操作：</w:t>
      </w:r>
    </w:p>
    <w:p>
      <w:pPr>
        <w:ind w:firstLine="240" w:firstLineChars="100"/>
        <w:rPr>
          <w:rFonts w:ascii="宋体" w:hAnsi="宋体" w:eastAsia="宋体" w:cs="宋体"/>
          <w:sz w:val="24"/>
        </w:rPr>
      </w:pPr>
      <w:r>
        <w:rPr>
          <w:rFonts w:ascii="宋体" w:hAnsi="宋体" w:eastAsia="宋体" w:cs="宋体"/>
          <w:sz w:val="24"/>
        </w:rPr>
        <w:t>◼ 刷新：</w:t>
      </w:r>
      <w:r>
        <w:rPr>
          <w:rFonts w:hint="eastAsia" w:ascii="宋体" w:hAnsi="宋体" w:eastAsia="宋体" w:cs="宋体"/>
          <w:sz w:val="24"/>
        </w:rPr>
        <w:t>刷新</w:t>
      </w:r>
      <w:r>
        <w:rPr>
          <w:rFonts w:ascii="宋体" w:hAnsi="宋体" w:eastAsia="宋体" w:cs="宋体"/>
          <w:sz w:val="24"/>
        </w:rPr>
        <w:t>列表内容</w:t>
      </w:r>
    </w:p>
    <w:p>
      <w:pPr>
        <w:ind w:firstLine="240" w:firstLineChars="100"/>
        <w:rPr>
          <w:rFonts w:ascii="宋体" w:hAnsi="宋体" w:eastAsia="宋体" w:cs="宋体"/>
          <w:sz w:val="24"/>
        </w:rPr>
      </w:pPr>
      <w:r>
        <w:rPr>
          <w:rFonts w:ascii="宋体" w:hAnsi="宋体" w:eastAsia="宋体" w:cs="宋体"/>
          <w:sz w:val="24"/>
        </w:rPr>
        <w:t xml:space="preserve">◼ </w:t>
      </w:r>
      <w:r>
        <w:rPr>
          <w:rFonts w:hint="eastAsia" w:ascii="宋体" w:hAnsi="宋体" w:eastAsia="宋体" w:cs="宋体"/>
          <w:sz w:val="24"/>
        </w:rPr>
        <w:t>详细</w:t>
      </w:r>
      <w:r>
        <w:rPr>
          <w:rFonts w:ascii="宋体" w:hAnsi="宋体" w:eastAsia="宋体" w:cs="宋体"/>
          <w:sz w:val="24"/>
        </w:rPr>
        <w:t>：</w:t>
      </w:r>
      <w:r>
        <w:rPr>
          <w:rFonts w:hint="eastAsia" w:ascii="宋体" w:hAnsi="宋体" w:eastAsia="宋体" w:cs="宋体"/>
          <w:sz w:val="24"/>
        </w:rPr>
        <w:t>打开详细页面，查看记录详情</w:t>
      </w:r>
    </w:p>
    <w:p>
      <w:pPr>
        <w:ind w:firstLine="240" w:firstLineChars="100"/>
        <w:rPr>
          <w:rFonts w:ascii="宋体" w:hAnsi="宋体" w:eastAsia="宋体" w:cs="宋体"/>
          <w:sz w:val="24"/>
        </w:rPr>
      </w:pPr>
    </w:p>
    <w:p>
      <w:pPr>
        <w:ind w:firstLine="210" w:firstLineChars="100"/>
        <w:rPr>
          <w:rFonts w:ascii="宋体" w:hAnsi="宋体" w:eastAsia="宋体" w:cs="宋体"/>
          <w:sz w:val="24"/>
        </w:rPr>
      </w:pPr>
      <w:r>
        <w:drawing>
          <wp:inline distT="0" distB="0" distL="114300" distR="114300">
            <wp:extent cx="5266690" cy="2493645"/>
            <wp:effectExtent l="0" t="0" r="10160" b="1905"/>
            <wp:docPr id="15"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true"/>
                    </pic:cNvPicPr>
                  </pic:nvPicPr>
                  <pic:blipFill>
                    <a:blip r:embed="rId18"/>
                    <a:stretch>
                      <a:fillRect/>
                    </a:stretch>
                  </pic:blipFill>
                  <pic:spPr>
                    <a:xfrm>
                      <a:off x="0" y="0"/>
                      <a:ext cx="5266690" cy="2493645"/>
                    </a:xfrm>
                    <a:prstGeom prst="rect">
                      <a:avLst/>
                    </a:prstGeom>
                    <a:noFill/>
                    <a:ln>
                      <a:noFill/>
                    </a:ln>
                  </pic:spPr>
                </pic:pic>
              </a:graphicData>
            </a:graphic>
          </wp:inline>
        </w:drawing>
      </w:r>
    </w:p>
    <w:p>
      <w:r>
        <w:rPr>
          <w:rFonts w:hint="eastAsia"/>
        </w:rPr>
        <w:t>各字段数据从云南省信用综合评级评价服务平台自动导入。</w:t>
      </w:r>
    </w:p>
    <w:p>
      <w:pPr>
        <w:pStyle w:val="4"/>
      </w:pPr>
      <w:bookmarkStart w:id="15" w:name="_Toc9509"/>
      <w:r>
        <w:rPr>
          <w:rFonts w:hint="eastAsia"/>
        </w:rPr>
        <w:t>2.3.6不良信息</w:t>
      </w:r>
      <w:bookmarkEnd w:id="15"/>
    </w:p>
    <w:p>
      <w:r>
        <w:rPr>
          <w:rFonts w:hint="eastAsia"/>
        </w:rPr>
        <w:t>诚信管理-不良信息模块用于主管部门填报企业各企业类型的不良信息，企业不良信息得分=各企业类型不良信息得分之和。区县/州市级主管部门需要将填报的记录上报到省级主管部门审批，审批通过后企业可于企业端查看已审批的不良信息记录。</w:t>
      </w:r>
    </w:p>
    <w:p>
      <w:pPr>
        <w:pStyle w:val="5"/>
      </w:pPr>
      <w:r>
        <w:rPr>
          <w:rFonts w:hint="eastAsia"/>
        </w:rPr>
        <w:t>2.3.6.1业务流程</w:t>
      </w:r>
    </w:p>
    <w:p>
      <w:r>
        <w:rPr>
          <w:rFonts w:hint="eastAsia"/>
        </w:rPr>
        <w:object>
          <v:shape id="_x0000_i1041" o:spt="75" type="#_x0000_t75" style="height:314.4pt;width:415.15pt;" o:ole="t" filled="f" o:preferrelative="t" stroked="f" coordsize="21600,21600">
            <v:path/>
            <v:fill on="f" focussize="0,0"/>
            <v:stroke on="f" joinstyle="miter"/>
            <v:imagedata r:id="rId20" o:title=""/>
            <o:lock v:ext="edit" aspectratio="f"/>
            <w10:wrap type="none"/>
            <w10:anchorlock/>
          </v:shape>
          <o:OLEObject Type="Embed" ProgID="Visio.Drawing.15" ShapeID="_x0000_i1041" DrawAspect="Content" ObjectID="_1468075725" r:id="rId19">
            <o:LockedField>false</o:LockedField>
          </o:OLEObject>
        </w:object>
      </w:r>
    </w:p>
    <w:p/>
    <w:p>
      <w:pPr>
        <w:pStyle w:val="5"/>
      </w:pPr>
      <w:r>
        <w:rPr>
          <w:rFonts w:hint="eastAsia"/>
        </w:rPr>
        <w:t>2.3.6.2进入路径</w:t>
      </w:r>
    </w:p>
    <w:p>
      <w:r>
        <w:rPr>
          <w:rFonts w:hint="eastAsia"/>
        </w:rPr>
        <w:t>点击左侧菜单“诚信管理-企业通常行为-企业不良信息”进入该模块。</w:t>
      </w:r>
    </w:p>
    <w:p>
      <w:r>
        <w:drawing>
          <wp:inline distT="0" distB="0" distL="114300" distR="114300">
            <wp:extent cx="5274310" cy="2501900"/>
            <wp:effectExtent l="0" t="0" r="2540" b="12700"/>
            <wp:docPr id="16"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true"/>
                    </pic:cNvPicPr>
                  </pic:nvPicPr>
                  <pic:blipFill>
                    <a:blip r:embed="rId21"/>
                    <a:stretch>
                      <a:fillRect/>
                    </a:stretch>
                  </pic:blipFill>
                  <pic:spPr>
                    <a:xfrm>
                      <a:off x="0" y="0"/>
                      <a:ext cx="5274310" cy="2501900"/>
                    </a:xfrm>
                    <a:prstGeom prst="rect">
                      <a:avLst/>
                    </a:prstGeom>
                    <a:noFill/>
                    <a:ln>
                      <a:noFill/>
                    </a:ln>
                  </pic:spPr>
                </pic:pic>
              </a:graphicData>
            </a:graphic>
          </wp:inline>
        </w:drawing>
      </w:r>
    </w:p>
    <w:p/>
    <w:p>
      <w:pPr>
        <w:pStyle w:val="5"/>
      </w:pPr>
      <w:r>
        <w:rPr>
          <w:rFonts w:hint="eastAsia"/>
        </w:rPr>
        <w:t>2.3.6.3添加/编辑操作说明</w:t>
      </w:r>
    </w:p>
    <w:p>
      <w:pPr>
        <w:jc w:val="left"/>
      </w:pPr>
      <w:r>
        <w:rPr>
          <w:rFonts w:hint="eastAsia"/>
        </w:rPr>
        <w:t>点击表格右上角“添加”按钮，打开添加页面，并输入各必填项字段后点击保存，“保存”成功后即可保存本次填报的记录。</w:t>
      </w:r>
    </w:p>
    <w:p>
      <w:pPr>
        <w:jc w:val="left"/>
      </w:pPr>
      <w:r>
        <w:drawing>
          <wp:inline distT="0" distB="0" distL="114300" distR="114300">
            <wp:extent cx="5266690" cy="2493645"/>
            <wp:effectExtent l="0" t="0" r="10160" b="1905"/>
            <wp:docPr id="17"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true"/>
                    </pic:cNvPicPr>
                  </pic:nvPicPr>
                  <pic:blipFill>
                    <a:blip r:embed="rId22"/>
                    <a:stretch>
                      <a:fillRect/>
                    </a:stretch>
                  </pic:blipFill>
                  <pic:spPr>
                    <a:xfrm>
                      <a:off x="0" y="0"/>
                      <a:ext cx="5266690" cy="2493645"/>
                    </a:xfrm>
                    <a:prstGeom prst="rect">
                      <a:avLst/>
                    </a:prstGeom>
                    <a:noFill/>
                    <a:ln>
                      <a:noFill/>
                    </a:ln>
                  </pic:spPr>
                </pic:pic>
              </a:graphicData>
            </a:graphic>
          </wp:inline>
        </w:drawing>
      </w:r>
    </w:p>
    <w:p>
      <w:pPr>
        <w:jc w:val="left"/>
      </w:pPr>
      <w:r>
        <w:rPr>
          <w:rFonts w:hint="eastAsia"/>
        </w:rPr>
        <w:t>保存后可点击表格右上角“上报”，将该纪录上报至省级主管部门。</w:t>
      </w:r>
    </w:p>
    <w:p>
      <w:r>
        <w:drawing>
          <wp:inline distT="0" distB="0" distL="114300" distR="114300">
            <wp:extent cx="5264150" cy="2479675"/>
            <wp:effectExtent l="0" t="0" r="12700" b="15875"/>
            <wp:docPr id="18"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true"/>
                    </pic:cNvPicPr>
                  </pic:nvPicPr>
                  <pic:blipFill>
                    <a:blip r:embed="rId23"/>
                    <a:stretch>
                      <a:fillRect/>
                    </a:stretch>
                  </pic:blipFill>
                  <pic:spPr>
                    <a:xfrm>
                      <a:off x="0" y="0"/>
                      <a:ext cx="5264150" cy="2479675"/>
                    </a:xfrm>
                    <a:prstGeom prst="rect">
                      <a:avLst/>
                    </a:prstGeom>
                    <a:noFill/>
                    <a:ln>
                      <a:noFill/>
                    </a:ln>
                  </pic:spPr>
                </pic:pic>
              </a:graphicData>
            </a:graphic>
          </wp:inline>
        </w:drawing>
      </w:r>
    </w:p>
    <w:p>
      <w:r>
        <w:rPr>
          <w:rFonts w:hint="eastAsia"/>
        </w:rPr>
        <w:t>上报后该记录状态改为“待审批”，待省级主管部门审批。</w:t>
      </w:r>
    </w:p>
    <w:p>
      <w:r>
        <w:drawing>
          <wp:inline distT="0" distB="0" distL="114300" distR="114300">
            <wp:extent cx="5274310" cy="2491740"/>
            <wp:effectExtent l="0" t="0" r="2540" b="3810"/>
            <wp:docPr id="19"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true"/>
                    </pic:cNvPicPr>
                  </pic:nvPicPr>
                  <pic:blipFill>
                    <a:blip r:embed="rId24"/>
                    <a:stretch>
                      <a:fillRect/>
                    </a:stretch>
                  </pic:blipFill>
                  <pic:spPr>
                    <a:xfrm>
                      <a:off x="0" y="0"/>
                      <a:ext cx="5274310" cy="2491740"/>
                    </a:xfrm>
                    <a:prstGeom prst="rect">
                      <a:avLst/>
                    </a:prstGeom>
                    <a:noFill/>
                    <a:ln>
                      <a:noFill/>
                    </a:ln>
                  </pic:spPr>
                </pic:pic>
              </a:graphicData>
            </a:graphic>
          </wp:inline>
        </w:drawing>
      </w:r>
    </w:p>
    <w:p>
      <w:r>
        <w:rPr>
          <w:rFonts w:hint="eastAsia"/>
        </w:rPr>
        <w:t>省级主管部门在后台点击“审批”按钮，打开审批页面。省级主管部门填写意见后，可点击“通过”或“不通过”按钮处理该业务。若点击通过，则该记录状态改为“已审批”，企业可于企业端查看该记录；若点击不通过，则该记录退回到发起的主管部门。</w:t>
      </w:r>
    </w:p>
    <w:p>
      <w:r>
        <w:drawing>
          <wp:inline distT="0" distB="0" distL="114300" distR="114300">
            <wp:extent cx="5274310" cy="2393950"/>
            <wp:effectExtent l="0" t="0" r="2540" b="6350"/>
            <wp:docPr id="20"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true"/>
                    </pic:cNvPicPr>
                  </pic:nvPicPr>
                  <pic:blipFill>
                    <a:blip r:embed="rId25"/>
                    <a:stretch>
                      <a:fillRect/>
                    </a:stretch>
                  </pic:blipFill>
                  <pic:spPr>
                    <a:xfrm>
                      <a:off x="0" y="0"/>
                      <a:ext cx="5274310" cy="2393950"/>
                    </a:xfrm>
                    <a:prstGeom prst="rect">
                      <a:avLst/>
                    </a:prstGeom>
                    <a:noFill/>
                    <a:ln>
                      <a:noFill/>
                    </a:ln>
                  </pic:spPr>
                </pic:pic>
              </a:graphicData>
            </a:graphic>
          </wp:inline>
        </w:drawing>
      </w:r>
    </w:p>
    <w:p>
      <w:r>
        <w:rPr>
          <w:rFonts w:hint="eastAsia"/>
        </w:rPr>
        <w:t>若已通过的记录发现有问题的，则省级主管部门可以点击表格左上角“撤回”功能按钮，将该记录撤回，撤回后该记录状态改为“撤回”且不参与评分。</w:t>
      </w:r>
    </w:p>
    <w:p>
      <w:r>
        <w:drawing>
          <wp:inline distT="0" distB="0" distL="114300" distR="114300">
            <wp:extent cx="5274310" cy="2513330"/>
            <wp:effectExtent l="0" t="0" r="2540" b="1270"/>
            <wp:docPr id="21"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true"/>
                    </pic:cNvPicPr>
                  </pic:nvPicPr>
                  <pic:blipFill>
                    <a:blip r:embed="rId26"/>
                    <a:stretch>
                      <a:fillRect/>
                    </a:stretch>
                  </pic:blipFill>
                  <pic:spPr>
                    <a:xfrm>
                      <a:off x="0" y="0"/>
                      <a:ext cx="5274310" cy="2513330"/>
                    </a:xfrm>
                    <a:prstGeom prst="rect">
                      <a:avLst/>
                    </a:prstGeom>
                    <a:noFill/>
                    <a:ln>
                      <a:noFill/>
                    </a:ln>
                  </pic:spPr>
                </pic:pic>
              </a:graphicData>
            </a:graphic>
          </wp:inline>
        </w:drawing>
      </w:r>
    </w:p>
    <w:p/>
    <w:p>
      <w:pPr>
        <w:pStyle w:val="3"/>
      </w:pPr>
      <w:bookmarkStart w:id="16" w:name="_Toc24621"/>
      <w:r>
        <w:rPr>
          <w:rFonts w:hint="eastAsia"/>
        </w:rPr>
        <w:t>2.4企业实施行为</w:t>
      </w:r>
      <w:bookmarkEnd w:id="16"/>
    </w:p>
    <w:p>
      <w:pPr>
        <w:widowControl/>
        <w:jc w:val="left"/>
      </w:pPr>
      <w:r>
        <w:rPr>
          <w:rFonts w:ascii="宋体" w:hAnsi="宋体" w:eastAsia="宋体" w:cs="宋体"/>
          <w:kern w:val="0"/>
          <w:sz w:val="24"/>
          <w:lang w:bidi="ar"/>
        </w:rPr>
        <w:t>诚信管理-企业实施行为模块用于主管部门填报</w:t>
      </w:r>
      <w:r>
        <w:rPr>
          <w:rFonts w:hint="eastAsia" w:ascii="宋体" w:hAnsi="宋体" w:eastAsia="宋体" w:cs="宋体"/>
          <w:kern w:val="0"/>
          <w:sz w:val="24"/>
          <w:lang w:bidi="ar"/>
        </w:rPr>
        <w:t>及审批</w:t>
      </w:r>
      <w:r>
        <w:rPr>
          <w:rFonts w:ascii="宋体" w:hAnsi="宋体" w:eastAsia="宋体" w:cs="宋体"/>
          <w:kern w:val="0"/>
          <w:sz w:val="24"/>
          <w:lang w:bidi="ar"/>
        </w:rPr>
        <w:t>企业实施行为数据</w:t>
      </w:r>
      <w:r>
        <w:rPr>
          <w:rFonts w:hint="eastAsia" w:ascii="宋体" w:hAnsi="宋体" w:eastAsia="宋体" w:cs="宋体"/>
          <w:kern w:val="0"/>
          <w:sz w:val="24"/>
          <w:lang w:bidi="ar"/>
        </w:rPr>
        <w:t>，</w:t>
      </w:r>
      <w:r>
        <w:rPr>
          <w:rFonts w:ascii="宋体" w:hAnsi="宋体" w:eastAsia="宋体" w:cs="宋体"/>
          <w:kern w:val="0"/>
          <w:sz w:val="24"/>
          <w:lang w:bidi="ar"/>
        </w:rPr>
        <w:t>主管部门录入</w:t>
      </w:r>
      <w:r>
        <w:rPr>
          <w:rFonts w:hint="eastAsia" w:ascii="宋体" w:hAnsi="宋体" w:eastAsia="宋体" w:cs="宋体"/>
          <w:kern w:val="0"/>
          <w:sz w:val="24"/>
          <w:lang w:bidi="ar"/>
        </w:rPr>
        <w:t>企业的各合同类别的项目后</w:t>
      </w:r>
      <w:r>
        <w:rPr>
          <w:rFonts w:ascii="宋体" w:hAnsi="宋体" w:eastAsia="宋体" w:cs="宋体"/>
          <w:kern w:val="0"/>
          <w:sz w:val="24"/>
          <w:lang w:bidi="ar"/>
        </w:rPr>
        <w:t>，评分时根据已录入的</w:t>
      </w:r>
      <w:r>
        <w:rPr>
          <w:rFonts w:hint="eastAsia" w:ascii="宋体" w:hAnsi="宋体" w:eastAsia="宋体" w:cs="宋体"/>
          <w:kern w:val="0"/>
          <w:sz w:val="24"/>
          <w:lang w:bidi="ar"/>
        </w:rPr>
        <w:t>所有合同类别的项目评分</w:t>
      </w:r>
      <w:r>
        <w:rPr>
          <w:rFonts w:ascii="宋体" w:hAnsi="宋体" w:eastAsia="宋体" w:cs="宋体"/>
          <w:kern w:val="0"/>
          <w:sz w:val="24"/>
          <w:lang w:bidi="ar"/>
        </w:rPr>
        <w:t xml:space="preserve">数据自动计算企业实施行为评分。 </w:t>
      </w:r>
    </w:p>
    <w:p>
      <w:pPr>
        <w:pStyle w:val="5"/>
      </w:pPr>
      <w:r>
        <w:rPr>
          <w:rFonts w:hint="eastAsia"/>
        </w:rPr>
        <w:t>2.4.1进入路径</w:t>
      </w:r>
    </w:p>
    <w:p>
      <w:r>
        <w:rPr>
          <w:rFonts w:hint="eastAsia"/>
        </w:rPr>
        <w:t>点击左侧菜单“诚信管理-企业实施行为”进入该模块。其中企业实施行为填报模块用于填报辖区内企业的实施行为记录，企业实施行为查询模块仅用于查询辖区内企业实施行为记录。</w:t>
      </w:r>
    </w:p>
    <w:p>
      <w:r>
        <w:drawing>
          <wp:inline distT="0" distB="0" distL="114300" distR="114300">
            <wp:extent cx="5274310" cy="2503170"/>
            <wp:effectExtent l="0" t="0" r="2540" b="11430"/>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27"/>
                    <a:stretch>
                      <a:fillRect/>
                    </a:stretch>
                  </pic:blipFill>
                  <pic:spPr>
                    <a:xfrm>
                      <a:off x="0" y="0"/>
                      <a:ext cx="5274310" cy="2503170"/>
                    </a:xfrm>
                    <a:prstGeom prst="rect">
                      <a:avLst/>
                    </a:prstGeom>
                    <a:noFill/>
                    <a:ln>
                      <a:noFill/>
                    </a:ln>
                  </pic:spPr>
                </pic:pic>
              </a:graphicData>
            </a:graphic>
          </wp:inline>
        </w:drawing>
      </w:r>
    </w:p>
    <w:p>
      <w:pPr>
        <w:pStyle w:val="5"/>
      </w:pPr>
      <w:r>
        <w:rPr>
          <w:rFonts w:hint="eastAsia"/>
        </w:rPr>
        <w:t>2.4.2添加/编辑操作说明</w:t>
      </w:r>
    </w:p>
    <w:p>
      <w:r>
        <w:rPr>
          <w:rFonts w:hint="eastAsia"/>
        </w:rPr>
        <w:t>点击表格左上角“添加”按钮，打开添加页面。</w:t>
      </w:r>
    </w:p>
    <w:p>
      <w:r>
        <w:drawing>
          <wp:inline distT="0" distB="0" distL="114300" distR="114300">
            <wp:extent cx="5274310" cy="2500630"/>
            <wp:effectExtent l="0" t="0" r="2540" b="13970"/>
            <wp:docPr id="23"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true"/>
                    </pic:cNvPicPr>
                  </pic:nvPicPr>
                  <pic:blipFill>
                    <a:blip r:embed="rId28"/>
                    <a:stretch>
                      <a:fillRect/>
                    </a:stretch>
                  </pic:blipFill>
                  <pic:spPr>
                    <a:xfrm>
                      <a:off x="0" y="0"/>
                      <a:ext cx="5274310" cy="2500630"/>
                    </a:xfrm>
                    <a:prstGeom prst="rect">
                      <a:avLst/>
                    </a:prstGeom>
                    <a:noFill/>
                    <a:ln>
                      <a:noFill/>
                    </a:ln>
                  </pic:spPr>
                </pic:pic>
              </a:graphicData>
            </a:graphic>
          </wp:inline>
        </w:drawing>
      </w:r>
    </w:p>
    <w:p>
      <w:r>
        <w:rPr>
          <w:rFonts w:hint="eastAsia"/>
        </w:rPr>
        <w:t>打开添加页面后，用户可选择企业，并填入所要评分的项目的基本信息。</w:t>
      </w:r>
    </w:p>
    <w:p>
      <w:r>
        <w:rPr>
          <w:rFonts w:hint="eastAsia"/>
        </w:rPr>
        <w:t>需要注意的是若要对本主管部门或其他主管部门已录入的项目进行评分，需要“企业名称+合同类别+项目名称+项目所在地”这四个字段与已录入的项目一致，若均一致则系统会自动显示已录入的该项目的项目信息和评分信息。主管部门可在原评分记录后继续添加评分信息。操作详见培训视频。</w:t>
      </w:r>
    </w:p>
    <w:p>
      <w:r>
        <w:drawing>
          <wp:inline distT="0" distB="0" distL="114300" distR="114300">
            <wp:extent cx="5266690" cy="2493645"/>
            <wp:effectExtent l="0" t="0" r="10160" b="1905"/>
            <wp:docPr id="24"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true"/>
                    </pic:cNvPicPr>
                  </pic:nvPicPr>
                  <pic:blipFill>
                    <a:blip r:embed="rId29"/>
                    <a:stretch>
                      <a:fillRect/>
                    </a:stretch>
                  </pic:blipFill>
                  <pic:spPr>
                    <a:xfrm>
                      <a:off x="0" y="0"/>
                      <a:ext cx="5266690" cy="2493645"/>
                    </a:xfrm>
                    <a:prstGeom prst="rect">
                      <a:avLst/>
                    </a:prstGeom>
                    <a:noFill/>
                    <a:ln>
                      <a:noFill/>
                    </a:ln>
                  </pic:spPr>
                </pic:pic>
              </a:graphicData>
            </a:graphic>
          </wp:inline>
        </w:drawing>
      </w:r>
    </w:p>
    <w:p>
      <w:r>
        <w:rPr>
          <w:rFonts w:hint="eastAsia"/>
        </w:rPr>
        <w:t>填写完项目基本信息后，点击保存，系统将自动跳转到评分信息。点击右上角添加按钮可打开评分信息添加页面。</w:t>
      </w:r>
    </w:p>
    <w:p>
      <w:r>
        <w:drawing>
          <wp:inline distT="0" distB="0" distL="114300" distR="114300">
            <wp:extent cx="5266690" cy="2493645"/>
            <wp:effectExtent l="0" t="0" r="10160" b="1905"/>
            <wp:docPr id="25"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true"/>
                    </pic:cNvPicPr>
                  </pic:nvPicPr>
                  <pic:blipFill>
                    <a:blip r:embed="rId30"/>
                    <a:stretch>
                      <a:fillRect/>
                    </a:stretch>
                  </pic:blipFill>
                  <pic:spPr>
                    <a:xfrm>
                      <a:off x="0" y="0"/>
                      <a:ext cx="5266690" cy="2493645"/>
                    </a:xfrm>
                    <a:prstGeom prst="rect">
                      <a:avLst/>
                    </a:prstGeom>
                    <a:noFill/>
                    <a:ln>
                      <a:noFill/>
                    </a:ln>
                  </pic:spPr>
                </pic:pic>
              </a:graphicData>
            </a:graphic>
          </wp:inline>
        </w:drawing>
      </w:r>
    </w:p>
    <w:p>
      <w:r>
        <w:rPr>
          <w:rFonts w:hint="eastAsia"/>
        </w:rPr>
        <w:t>评分信息添加页面可录入该次评分的扣分值及相关信息。</w:t>
      </w:r>
    </w:p>
    <w:p>
      <w:r>
        <w:drawing>
          <wp:inline distT="0" distB="0" distL="114300" distR="114300">
            <wp:extent cx="5266690" cy="2493645"/>
            <wp:effectExtent l="0" t="0" r="10160" b="1905"/>
            <wp:docPr id="26"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true"/>
                    </pic:cNvPicPr>
                  </pic:nvPicPr>
                  <pic:blipFill>
                    <a:blip r:embed="rId31"/>
                    <a:stretch>
                      <a:fillRect/>
                    </a:stretch>
                  </pic:blipFill>
                  <pic:spPr>
                    <a:xfrm>
                      <a:off x="0" y="0"/>
                      <a:ext cx="5266690" cy="2493645"/>
                    </a:xfrm>
                    <a:prstGeom prst="rect">
                      <a:avLst/>
                    </a:prstGeom>
                    <a:noFill/>
                    <a:ln>
                      <a:noFill/>
                    </a:ln>
                  </pic:spPr>
                </pic:pic>
              </a:graphicData>
            </a:graphic>
          </wp:inline>
        </w:drawing>
      </w:r>
    </w:p>
    <w:p>
      <w:r>
        <w:rPr>
          <w:rFonts w:hint="eastAsia"/>
        </w:rPr>
        <w:t>填报完评分信息点击保存后，可保存本次考核的记录，该记录将参与评分。</w:t>
      </w:r>
    </w:p>
    <w:p/>
    <w:p>
      <w:pPr>
        <w:pStyle w:val="2"/>
      </w:pPr>
      <w:bookmarkStart w:id="17" w:name="_Toc14091"/>
      <w:bookmarkStart w:id="18" w:name="_Toc13346"/>
      <w:bookmarkStart w:id="19" w:name="_Toc10537"/>
      <w:r>
        <w:rPr>
          <w:rFonts w:hint="eastAsia"/>
        </w:rPr>
        <w:t>3.诚信评分各指标算分规则说明汇总</w:t>
      </w:r>
      <w:bookmarkEnd w:id="17"/>
      <w:bookmarkEnd w:id="18"/>
      <w:bookmarkEnd w:id="19"/>
    </w:p>
    <w:p>
      <w:pPr>
        <w:widowControl/>
        <w:jc w:val="left"/>
      </w:pPr>
      <w:r>
        <w:rPr>
          <w:rFonts w:hint="eastAsia"/>
        </w:rPr>
        <w:t>“诚信评分各指标算分规则说明汇总”按照《云建建〔2021〕159号》（以下简称文件）指标说明了各指标系统内算分规则及填报注意事项，除上述各模块提到的规则外补充了新入库企业、无实施行为记录企业诚信评分计算方式。</w:t>
      </w:r>
    </w:p>
    <w:p>
      <w:pPr>
        <w:pStyle w:val="3"/>
      </w:pPr>
      <w:bookmarkStart w:id="20" w:name="_Toc25644"/>
      <w:bookmarkStart w:id="21" w:name="_Toc21948"/>
      <w:r>
        <w:rPr>
          <w:rFonts w:hint="eastAsia"/>
        </w:rPr>
        <w:t>3.1基础信息</w:t>
      </w:r>
      <w:bookmarkEnd w:id="20"/>
      <w:bookmarkEnd w:id="21"/>
    </w:p>
    <w:p>
      <w:r>
        <w:rPr>
          <w:rFonts w:hint="eastAsia"/>
        </w:rPr>
        <w:t>基础信息指标默认企业已有60分，根据企业填报完整度，若有缺失则扣除相应分数。</w:t>
      </w:r>
    </w:p>
    <w:p>
      <w:r>
        <w:rPr>
          <w:rFonts w:hint="eastAsia"/>
        </w:rPr>
        <w:t>系统自动校验本评分周期企业基本信息、产值营收填报模块、良好信息模块、不良信息模块、企业实施行为模块记录共涉及哪些企业类型，根据校验判定企业有的企业类型对以下几点计算得分：</w:t>
      </w:r>
    </w:p>
    <w:p>
      <w:pPr>
        <w:pStyle w:val="4"/>
      </w:pPr>
      <w:bookmarkStart w:id="22" w:name="_Toc9391"/>
      <w:bookmarkStart w:id="23" w:name="_Toc18249"/>
      <w:r>
        <w:rPr>
          <w:rFonts w:hint="eastAsia"/>
        </w:rPr>
        <w:t>3.1.1企业资质：</w:t>
      </w:r>
      <w:bookmarkEnd w:id="22"/>
      <w:bookmarkEnd w:id="23"/>
    </w:p>
    <w:p>
      <w:r>
        <w:rPr>
          <w:rFonts w:hint="eastAsia"/>
        </w:rPr>
        <w:t>经校验判定企业有的每个企业类型都至少要有1本证书，若有任意一个企业类型没有证书则扣0.5分，扣分累计；</w:t>
      </w:r>
    </w:p>
    <w:p>
      <w:pPr>
        <w:pStyle w:val="4"/>
      </w:pPr>
      <w:bookmarkStart w:id="24" w:name="_Toc23107"/>
      <w:bookmarkStart w:id="25" w:name="_Toc13359"/>
      <w:r>
        <w:rPr>
          <w:rFonts w:hint="eastAsia"/>
        </w:rPr>
        <w:t>3.1.2在册专业技术人员</w:t>
      </w:r>
      <w:bookmarkEnd w:id="24"/>
      <w:bookmarkEnd w:id="25"/>
    </w:p>
    <w:p>
      <w:r>
        <w:rPr>
          <w:rFonts w:hint="eastAsia"/>
        </w:rPr>
        <w:t>人员管理模块需至少有一条企业登记过且该被登记人已认证的记录，若无则扣0.5分；</w:t>
      </w:r>
    </w:p>
    <w:p>
      <w:pPr>
        <w:pStyle w:val="4"/>
      </w:pPr>
      <w:bookmarkStart w:id="26" w:name="_Toc27240"/>
      <w:bookmarkStart w:id="27" w:name="_Toc24969"/>
      <w:r>
        <w:rPr>
          <w:rFonts w:hint="eastAsia"/>
        </w:rPr>
        <w:t>3.1.3评价周期内在滇产值（营收）完成情况：</w:t>
      </w:r>
      <w:bookmarkEnd w:id="26"/>
      <w:bookmarkEnd w:id="27"/>
    </w:p>
    <w:p>
      <w:r>
        <w:rPr>
          <w:rFonts w:hint="eastAsia"/>
        </w:rPr>
        <w:t>经校验判定企业有的每个企业类型上一年度所有季度都应有产值营收季报，若有漏填的季报每个扣0.5分；</w:t>
      </w:r>
    </w:p>
    <w:p>
      <w:pPr>
        <w:pStyle w:val="4"/>
      </w:pPr>
      <w:bookmarkStart w:id="28" w:name="_Toc7921"/>
      <w:bookmarkStart w:id="29" w:name="_Toc6425"/>
      <w:r>
        <w:rPr>
          <w:rFonts w:hint="eastAsia"/>
        </w:rPr>
        <w:t>3.1.4近五年已完工项目及在建项目信息</w:t>
      </w:r>
      <w:bookmarkEnd w:id="28"/>
      <w:bookmarkEnd w:id="29"/>
    </w:p>
    <w:p>
      <w:r>
        <w:rPr>
          <w:rFonts w:hint="eastAsia"/>
        </w:rPr>
        <w:t>由主管部门人工考核。</w:t>
      </w:r>
    </w:p>
    <w:p>
      <w:pPr>
        <w:pStyle w:val="3"/>
      </w:pPr>
      <w:bookmarkStart w:id="30" w:name="_Toc31228"/>
      <w:bookmarkStart w:id="31" w:name="_Toc20954"/>
      <w:r>
        <w:rPr>
          <w:rFonts w:hint="eastAsia"/>
        </w:rPr>
        <w:t>3.2经济指标</w:t>
      </w:r>
      <w:bookmarkEnd w:id="30"/>
      <w:bookmarkEnd w:id="31"/>
    </w:p>
    <w:p>
      <w:r>
        <w:rPr>
          <w:rFonts w:hint="eastAsia"/>
        </w:rPr>
        <w:t>经济指标分为省内经济指标和省外经济指标，其中省外经济指标仅限企业注册所在地省份为云南省的企业参与，排名数据来源于企业于“诚信管理-企业产值营收填报”模块填报的企业产值/营收季报。排名为同类企业排名，如产值营收模块填报的监理的营收仅和其他监理企业营收排名，最终参与评分的省内/省外排名均取企业排名最高的企业类型的排名。</w:t>
      </w:r>
    </w:p>
    <w:p>
      <w:pPr>
        <w:pStyle w:val="3"/>
      </w:pPr>
      <w:bookmarkStart w:id="32" w:name="_Toc11593"/>
      <w:bookmarkStart w:id="33" w:name="_Toc2368"/>
      <w:r>
        <w:rPr>
          <w:rFonts w:hint="eastAsia"/>
        </w:rPr>
        <w:t>3.3纳税等级</w:t>
      </w:r>
      <w:bookmarkEnd w:id="32"/>
      <w:bookmarkEnd w:id="33"/>
    </w:p>
    <w:p>
      <w:r>
        <w:rPr>
          <w:rFonts w:hint="eastAsia"/>
        </w:rPr>
        <w:t>纳税等级指标根据企业于“诚信管理-纳税等级”模块填报的上一年度纳税等级自动计算得分。纳税信用等级为A级，得5分；纳税信用等级为B级，得4分；纳税信用等级为M级，得3分；纳税信用等级为C级，得2分；纳税信用等级为D级及无纳税信用等级评价的不得分。</w:t>
      </w:r>
    </w:p>
    <w:p>
      <w:pPr>
        <w:pStyle w:val="3"/>
      </w:pPr>
      <w:bookmarkStart w:id="34" w:name="_Toc2931"/>
      <w:bookmarkStart w:id="35" w:name="_Toc28056"/>
      <w:r>
        <w:rPr>
          <w:rFonts w:hint="eastAsia"/>
        </w:rPr>
        <w:t>3.4信用评价</w:t>
      </w:r>
      <w:bookmarkEnd w:id="34"/>
      <w:bookmarkEnd w:id="35"/>
    </w:p>
    <w:p>
      <w:r>
        <w:rPr>
          <w:rFonts w:hint="eastAsia"/>
        </w:rPr>
        <w:t>信用评价指标得分根据系统从“云南省建筑行业企业信用综合评价评级平台”（</w:t>
      </w:r>
      <w:r>
        <w:t>https://xy.ynjzjgcx.com/</w:t>
      </w:r>
      <w:r>
        <w:rPr>
          <w:rFonts w:hint="eastAsia"/>
        </w:rPr>
        <w:t>）导入的</w:t>
      </w:r>
      <w:r>
        <w:t>企业信用综合指标得分</w:t>
      </w:r>
      <w:r>
        <w:rPr>
          <w:rFonts w:hint="eastAsia"/>
        </w:rPr>
        <w:t>数据自动计算得分，指标得分=</w:t>
      </w:r>
      <w:r>
        <w:t>企业信用综合指标得分/100*6</w:t>
      </w:r>
      <w:r>
        <w:rPr>
          <w:rFonts w:hint="eastAsia"/>
        </w:rPr>
        <w:t>。</w:t>
      </w:r>
    </w:p>
    <w:p>
      <w:pPr>
        <w:pStyle w:val="3"/>
      </w:pPr>
      <w:bookmarkStart w:id="36" w:name="_Toc23288"/>
      <w:bookmarkStart w:id="37" w:name="_Toc28707"/>
      <w:r>
        <w:rPr>
          <w:rFonts w:hint="eastAsia"/>
        </w:rPr>
        <w:t>3.5良好信息</w:t>
      </w:r>
      <w:bookmarkEnd w:id="36"/>
      <w:bookmarkEnd w:id="37"/>
    </w:p>
    <w:p>
      <w:r>
        <w:rPr>
          <w:rFonts w:hint="eastAsia"/>
        </w:rPr>
        <w:t>良好信息指标得分根据企业于“诚信管理-良好信息”模块填报的各企业类型奖励日期在评分时间范围内的良好信息自动计算得分。同一项目多次获奖的，以最高奖项记录。</w:t>
      </w:r>
    </w:p>
    <w:p>
      <w:pPr>
        <w:pStyle w:val="3"/>
      </w:pPr>
      <w:bookmarkStart w:id="38" w:name="_Toc30669"/>
      <w:bookmarkStart w:id="39" w:name="_Toc11325"/>
      <w:r>
        <w:rPr>
          <w:rFonts w:hint="eastAsia"/>
        </w:rPr>
        <w:t>3.6企业职工参保率</w:t>
      </w:r>
      <w:bookmarkEnd w:id="38"/>
      <w:bookmarkEnd w:id="39"/>
    </w:p>
    <w:p>
      <w:r>
        <w:rPr>
          <w:rFonts w:hint="eastAsia"/>
        </w:rPr>
        <w:t>职工参保率指标得分根据企业于“人员管理-企业人员管理”模块登记的人员信息自动计算，职工参保率=企业职工参保人数企业/签订劳动合同总人数。Z≥90%，得5分；80≤Z&lt;90%，得4分;70%≤Z&lt;80%，得3分;60%≤Z&lt;70%，得2分；30%≤Z&lt;60%，得1分；0%≤Z＜30，得0分。</w:t>
      </w:r>
    </w:p>
    <w:p>
      <w:pPr>
        <w:pStyle w:val="3"/>
      </w:pPr>
      <w:bookmarkStart w:id="40" w:name="_Toc30065"/>
      <w:bookmarkStart w:id="41" w:name="_Toc25295"/>
      <w:r>
        <w:rPr>
          <w:rFonts w:hint="eastAsia"/>
        </w:rPr>
        <w:t>3.7企业职工执业信息</w:t>
      </w:r>
      <w:bookmarkEnd w:id="40"/>
      <w:bookmarkEnd w:id="41"/>
    </w:p>
    <w:p>
      <w:r>
        <w:rPr>
          <w:rFonts w:hint="eastAsia"/>
        </w:rPr>
        <w:t>职工参保率指标得分根据企业于“人员管理-企业人员管理”模块登记的人员的证书信息和职称信息自动计算，执业信息百分比=（企业助理级职称以上人数+企业有执业资格人数-企业既有职称又有执业资格人数）/企业签订。Z≥60%，得5分；50≤Z&lt;60%，得4分;40%≤Z&lt;50%，得3分;30%≤Z&lt;40%，得2分；Z＜30%，得1分。</w:t>
      </w:r>
    </w:p>
    <w:p>
      <w:pPr>
        <w:pStyle w:val="3"/>
      </w:pPr>
      <w:bookmarkStart w:id="42" w:name="_Toc1858"/>
      <w:bookmarkStart w:id="43" w:name="_Toc29241"/>
      <w:r>
        <w:rPr>
          <w:rFonts w:hint="eastAsia"/>
        </w:rPr>
        <w:t>3.8不良信息</w:t>
      </w:r>
      <w:bookmarkEnd w:id="42"/>
      <w:bookmarkEnd w:id="43"/>
    </w:p>
    <w:p>
      <w:r>
        <w:rPr>
          <w:rFonts w:hint="eastAsia"/>
        </w:rPr>
        <w:t>不良信息指标得分根据主管部门于“诚信管理-企业通常行为-不良信息”模块填报且审批通过的企业各企业类型的记录自动计算。</w:t>
      </w:r>
    </w:p>
    <w:p>
      <w:pPr>
        <w:pStyle w:val="3"/>
      </w:pPr>
      <w:bookmarkStart w:id="44" w:name="_Toc6068"/>
      <w:bookmarkStart w:id="45" w:name="_Toc21470"/>
      <w:r>
        <w:rPr>
          <w:rFonts w:hint="eastAsia"/>
        </w:rPr>
        <w:t>3.9企业实施行为</w:t>
      </w:r>
      <w:bookmarkEnd w:id="44"/>
      <w:bookmarkEnd w:id="45"/>
    </w:p>
    <w:p>
      <w:r>
        <w:rPr>
          <w:rFonts w:hint="eastAsia"/>
        </w:rPr>
        <w:t>企业实施行为指标得分根据主管部门于“诚信管理-企业实施行为”模块填报的企业各合同类别的在建项目“实施行为记分值总和”和“实施行为额外记分值总和”自动计算。</w:t>
      </w: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Times New Roman"/>
    <w:panose1 w:val="020B0604020202020204"/>
    <w:charset w:val="00"/>
    <w:family w:val="swiss"/>
    <w:pitch w:val="default"/>
    <w:sig w:usb0="E0002AFF" w:usb1="C0007843" w:usb2="00000009" w:usb3="00000000" w:csb0="400001FF" w:csb1="FFFF0000"/>
  </w:font>
  <w:font w:name="微软雅黑">
    <w:altName w:val="黑体"/>
    <w:panose1 w:val="020B0503020204020204"/>
    <w:charset w:val="00"/>
    <w:family w:val="swiss"/>
    <w:pitch w:val="default"/>
    <w:sig w:usb0="80000287" w:usb1="280F3C52" w:usb2="00000016" w:usb3="00000000" w:csb0="0004001F"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297E29"/>
    <w:multiLevelType w:val="singleLevel"/>
    <w:tmpl w:val="20297E29"/>
    <w:lvl w:ilvl="0" w:tentative="0">
      <w:start w:val="2"/>
      <w:numFmt w:val="decimal"/>
      <w:lvlText w:val="%1."/>
      <w:lvlJc w:val="left"/>
      <w:pPr>
        <w:tabs>
          <w:tab w:val="left" w:pos="312"/>
        </w:tabs>
      </w:pPr>
    </w:lvl>
  </w:abstractNum>
  <w:abstractNum w:abstractNumId="1">
    <w:nsid w:val="728A558B"/>
    <w:multiLevelType w:val="singleLevel"/>
    <w:tmpl w:val="728A558B"/>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bordersDoNotSurroundHeader w:val="true"/>
  <w:bordersDoNotSurroundFooter w:val="true"/>
  <w:documentProtection w:enforcement="0"/>
  <w:defaultTabStop w:val="420"/>
  <w:hyphenationZone w:val="36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225C0F"/>
    <w:rsid w:val="00126738"/>
    <w:rsid w:val="00236C3C"/>
    <w:rsid w:val="002A5743"/>
    <w:rsid w:val="002C256F"/>
    <w:rsid w:val="00305347"/>
    <w:rsid w:val="00415C40"/>
    <w:rsid w:val="00816E1A"/>
    <w:rsid w:val="008200B6"/>
    <w:rsid w:val="008E602B"/>
    <w:rsid w:val="00AC4A9A"/>
    <w:rsid w:val="00B22986"/>
    <w:rsid w:val="00CA17DA"/>
    <w:rsid w:val="00CE6BD2"/>
    <w:rsid w:val="00E03421"/>
    <w:rsid w:val="01742EDC"/>
    <w:rsid w:val="04083362"/>
    <w:rsid w:val="075B50B1"/>
    <w:rsid w:val="0AEF714B"/>
    <w:rsid w:val="0C7F47BD"/>
    <w:rsid w:val="12775D28"/>
    <w:rsid w:val="2040220F"/>
    <w:rsid w:val="20774A92"/>
    <w:rsid w:val="22225C0F"/>
    <w:rsid w:val="25DD66A9"/>
    <w:rsid w:val="276133AD"/>
    <w:rsid w:val="2B6309DA"/>
    <w:rsid w:val="2FC47FF6"/>
    <w:rsid w:val="348B12A9"/>
    <w:rsid w:val="36610DBE"/>
    <w:rsid w:val="377812BD"/>
    <w:rsid w:val="37C52D90"/>
    <w:rsid w:val="38F73B98"/>
    <w:rsid w:val="399731B0"/>
    <w:rsid w:val="3F7C7F51"/>
    <w:rsid w:val="40216321"/>
    <w:rsid w:val="416D5697"/>
    <w:rsid w:val="46B14B5B"/>
    <w:rsid w:val="478B4832"/>
    <w:rsid w:val="4E7F3CC8"/>
    <w:rsid w:val="4EE90B1C"/>
    <w:rsid w:val="53CA25AA"/>
    <w:rsid w:val="570973E3"/>
    <w:rsid w:val="576B309F"/>
    <w:rsid w:val="5C120970"/>
    <w:rsid w:val="613F762C"/>
    <w:rsid w:val="626B0481"/>
    <w:rsid w:val="687B3767"/>
    <w:rsid w:val="6B8954DC"/>
    <w:rsid w:val="6DAF5E95"/>
    <w:rsid w:val="6DE25C7C"/>
    <w:rsid w:val="6FC50864"/>
    <w:rsid w:val="703F6932"/>
    <w:rsid w:val="71A673C5"/>
    <w:rsid w:val="74F94120"/>
    <w:rsid w:val="758240FB"/>
    <w:rsid w:val="776F7AF4"/>
    <w:rsid w:val="7B914162"/>
    <w:rsid w:val="7EB938D3"/>
    <w:rsid w:val="EFFA18B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13">
    <w:name w:val="Default Paragraph Font"/>
    <w:unhideWhenUsed/>
    <w:qFormat/>
    <w:uiPriority w:val="1"/>
  </w:style>
  <w:style w:type="table" w:default="1" w:styleId="12">
    <w:name w:val="Normal Table"/>
    <w:unhideWhenUsed/>
    <w:qFormat/>
    <w:uiPriority w:val="99"/>
    <w:tblPr>
      <w:tblStyle w:val="12"/>
      <w:tblCellMar>
        <w:top w:w="0" w:type="dxa"/>
        <w:left w:w="108" w:type="dxa"/>
        <w:bottom w:w="0" w:type="dxa"/>
        <w:right w:w="108" w:type="dxa"/>
      </w:tblCellMar>
    </w:tblPr>
  </w:style>
  <w:style w:type="paragraph" w:styleId="7">
    <w:name w:val="toc 3"/>
    <w:basedOn w:val="1"/>
    <w:next w:val="1"/>
    <w:unhideWhenUsed/>
    <w:qFormat/>
    <w:uiPriority w:val="39"/>
    <w:pPr>
      <w:ind w:left="840" w:leftChars="400"/>
    </w:pPr>
  </w:style>
  <w:style w:type="paragraph" w:styleId="8">
    <w:name w:val="footer"/>
    <w:basedOn w:val="1"/>
    <w:link w:val="15"/>
    <w:qFormat/>
    <w:uiPriority w:val="0"/>
    <w:pPr>
      <w:tabs>
        <w:tab w:val="center" w:pos="4153"/>
        <w:tab w:val="right" w:pos="8306"/>
      </w:tabs>
      <w:snapToGrid w:val="0"/>
      <w:jc w:val="left"/>
    </w:pPr>
    <w:rPr>
      <w:sz w:val="18"/>
      <w:szCs w:val="18"/>
    </w:rPr>
  </w:style>
  <w:style w:type="paragraph" w:styleId="9">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spacing w:after="100"/>
    </w:pPr>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u w:val="single"/>
    </w:rPr>
  </w:style>
  <w:style w:type="character" w:customStyle="1" w:styleId="15">
    <w:name w:val="页脚 字符"/>
    <w:basedOn w:val="13"/>
    <w:link w:val="8"/>
    <w:qFormat/>
    <w:uiPriority w:val="0"/>
    <w:rPr>
      <w:rFonts w:ascii="Calibri" w:hAnsi="Calibri" w:eastAsia="宋体" w:cs="Times New Roman"/>
      <w:kern w:val="2"/>
      <w:sz w:val="18"/>
      <w:szCs w:val="18"/>
    </w:rPr>
  </w:style>
  <w:style w:type="character" w:customStyle="1" w:styleId="16">
    <w:name w:val="页眉 字符"/>
    <w:basedOn w:val="13"/>
    <w:link w:val="9"/>
    <w:qFormat/>
    <w:uiPriority w:val="0"/>
    <w:rPr>
      <w:rFonts w:ascii="Calibri" w:hAnsi="Calibri" w:eastAsia="宋体" w:cs="Times New Roman"/>
      <w:kern w:val="2"/>
      <w:sz w:val="18"/>
      <w:szCs w:val="18"/>
    </w:rPr>
  </w:style>
  <w:style w:type="paragraph" w:customStyle="1" w:styleId="1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8">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952</Words>
  <Characters>5433</Characters>
  <Lines>45</Lines>
  <Paragraphs>12</Paragraphs>
  <TotalTime>6</TotalTime>
  <ScaleCrop>false</ScaleCrop>
  <LinksUpToDate>false</LinksUpToDate>
  <CharactersWithSpaces>6373</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2021-05-28T19:10:00Z</dcterms:created>
  <dc:creator>时光如酒是故人</dc:creator>
  <cp:lastModifiedBy>Maximilian</cp:lastModifiedBy>
  <cp:lastPrinted>2021-11-23T17:28:00Z</cp:lastPrinted>
  <dcterms:modified xsi:type="dcterms:W3CDTF">2021-12-24T13:38:58Z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83A021FC48F846ABB668E5CDB0A571A0</vt:lpwstr>
  </property>
</Properties>
</file>