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38" w:name="_GoBack"/>
      <w:bookmarkEnd w:id="38"/>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Pr>
        <w:jc w:val="center"/>
        <w:rPr>
          <w:sz w:val="52"/>
          <w:szCs w:val="52"/>
        </w:rPr>
      </w:pPr>
    </w:p>
    <w:p>
      <w:pPr>
        <w:jc w:val="center"/>
        <w:rPr>
          <w:sz w:val="52"/>
          <w:szCs w:val="52"/>
        </w:rPr>
      </w:pPr>
    </w:p>
    <w:p>
      <w:pPr>
        <w:jc w:val="center"/>
        <w:rPr>
          <w:sz w:val="52"/>
          <w:szCs w:val="52"/>
        </w:rPr>
      </w:pPr>
    </w:p>
    <w:p>
      <w:pPr>
        <w:jc w:val="center"/>
        <w:rPr>
          <w:b/>
          <w:bCs/>
          <w:sz w:val="52"/>
          <w:szCs w:val="52"/>
        </w:rPr>
      </w:pPr>
      <w:r>
        <w:rPr>
          <w:rFonts w:hint="eastAsia"/>
          <w:b/>
          <w:bCs/>
          <w:sz w:val="52"/>
          <w:szCs w:val="52"/>
        </w:rPr>
        <w:t>云南省建筑市场监管与诚信一体化平台诚信管理企业用户操作手册</w:t>
      </w:r>
    </w:p>
    <w:p>
      <w:pPr>
        <w:jc w:val="left"/>
        <w:rPr>
          <w:szCs w:val="21"/>
        </w:rPr>
      </w:pPr>
    </w:p>
    <w:p>
      <w:pPr>
        <w:jc w:val="left"/>
        <w:rPr>
          <w:szCs w:val="21"/>
        </w:rPr>
      </w:pPr>
    </w:p>
    <w:tbl>
      <w:tblPr>
        <w:tblStyle w:val="12"/>
        <w:tblpPr w:leftFromText="180" w:rightFromText="180" w:vertAnchor="text" w:horzAnchor="page" w:tblpXSpec="center" w:tblpY="20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2" w:type="dxa"/>
            <w:noWrap w:val="0"/>
            <w:vAlign w:val="center"/>
          </w:tcPr>
          <w:p>
            <w:pPr>
              <w:spacing w:line="560" w:lineRule="exact"/>
              <w:jc w:val="center"/>
              <w:rPr>
                <w:rFonts w:ascii="微软雅黑" w:hAnsi="微软雅黑" w:cs="Arial"/>
                <w:b/>
                <w:snapToGrid w:val="0"/>
              </w:rPr>
            </w:pPr>
            <w:r>
              <w:rPr>
                <w:rFonts w:hint="eastAsia" w:ascii="微软雅黑" w:hAnsi="微软雅黑" w:cs="Arial"/>
                <w:b/>
                <w:snapToGrid w:val="0"/>
              </w:rPr>
              <w:t>文档版本</w:t>
            </w:r>
          </w:p>
        </w:tc>
        <w:tc>
          <w:tcPr>
            <w:tcW w:w="3018" w:type="dxa"/>
            <w:noWrap w:val="0"/>
            <w:vAlign w:val="center"/>
          </w:tcPr>
          <w:p>
            <w:pPr>
              <w:spacing w:line="560" w:lineRule="exact"/>
              <w:jc w:val="center"/>
              <w:rPr>
                <w:rFonts w:ascii="微软雅黑" w:hAnsi="微软雅黑" w:cs="Arial"/>
                <w:b/>
                <w:i/>
                <w:snapToGrid w:val="0"/>
              </w:rPr>
            </w:pPr>
            <w:r>
              <w:rPr>
                <w:rFonts w:hint="eastAsia" w:ascii="微软雅黑" w:hAnsi="微软雅黑" w:cs="Arial"/>
                <w:b/>
                <w:i/>
                <w:snapToGrid w:val="0"/>
              </w:rPr>
              <w:t>撰写时间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2" w:type="dxa"/>
            <w:noWrap w:val="0"/>
            <w:vAlign w:val="center"/>
          </w:tcPr>
          <w:p>
            <w:pPr>
              <w:spacing w:line="560" w:lineRule="exact"/>
              <w:jc w:val="center"/>
              <w:rPr>
                <w:rFonts w:ascii="微软雅黑" w:hAnsi="微软雅黑" w:cs="Arial"/>
                <w:iCs/>
                <w:snapToGrid w:val="0"/>
              </w:rPr>
            </w:pPr>
            <w:r>
              <w:rPr>
                <w:rFonts w:hint="eastAsia" w:ascii="微软雅黑" w:hAnsi="微软雅黑" w:cs="Arial"/>
                <w:iCs/>
                <w:snapToGrid w:val="0"/>
              </w:rPr>
              <w:t>V1.0</w:t>
            </w:r>
          </w:p>
        </w:tc>
        <w:tc>
          <w:tcPr>
            <w:tcW w:w="3018" w:type="dxa"/>
            <w:noWrap w:val="0"/>
            <w:vAlign w:val="center"/>
          </w:tcPr>
          <w:p>
            <w:pPr>
              <w:spacing w:line="560" w:lineRule="exact"/>
              <w:jc w:val="center"/>
              <w:rPr>
                <w:rFonts w:ascii="微软雅黑" w:hAnsi="微软雅黑" w:cs="Arial"/>
                <w:iCs/>
                <w:snapToGrid w:val="0"/>
              </w:rPr>
            </w:pPr>
            <w:r>
              <w:rPr>
                <w:rFonts w:hint="eastAsia" w:ascii="微软雅黑" w:hAnsi="微软雅黑" w:cs="Arial"/>
                <w:iCs/>
                <w:snapToGrid w:val="0"/>
              </w:rPr>
              <w:t>2021-11-5</w:t>
            </w:r>
          </w:p>
        </w:tc>
      </w:tr>
    </w:tbl>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left"/>
        <w:rPr>
          <w:rFonts w:ascii="微软雅黑" w:hAnsi="微软雅黑"/>
          <w:b/>
          <w:sz w:val="32"/>
          <w:lang w:val="zh-CN"/>
        </w:rPr>
      </w:pPr>
    </w:p>
    <w:p>
      <w:pPr>
        <w:jc w:val="left"/>
        <w:rPr>
          <w:rFonts w:ascii="微软雅黑" w:hAnsi="微软雅黑"/>
          <w:b/>
          <w:sz w:val="32"/>
          <w:lang w:val="zh-CN"/>
        </w:rPr>
      </w:pPr>
    </w:p>
    <w:p>
      <w:pPr>
        <w:pStyle w:val="17"/>
        <w:tabs>
          <w:tab w:val="right" w:leader="dot" w:pos="8306"/>
        </w:tabs>
        <w:jc w:val="center"/>
        <w:rPr>
          <w:rFonts w:ascii="微软雅黑" w:hAnsi="微软雅黑"/>
          <w:b/>
          <w:sz w:val="32"/>
          <w:lang w:val="zh-CN"/>
        </w:rPr>
      </w:pPr>
      <w:r>
        <w:rPr>
          <w:rFonts w:ascii="微软雅黑" w:hAnsi="微软雅黑"/>
          <w:b/>
          <w:sz w:val="32"/>
          <w:lang w:val="zh-CN"/>
        </w:rPr>
        <w:t>目</w:t>
      </w:r>
      <w:r>
        <w:rPr>
          <w:rFonts w:hint="eastAsia" w:ascii="微软雅黑" w:hAnsi="微软雅黑"/>
          <w:b/>
          <w:sz w:val="32"/>
          <w:lang w:val="zh-CN"/>
        </w:rPr>
        <w:t xml:space="preserve"> </w:t>
      </w:r>
      <w:r>
        <w:rPr>
          <w:rFonts w:ascii="微软雅黑" w:hAnsi="微软雅黑"/>
          <w:b/>
          <w:sz w:val="32"/>
          <w:lang w:val="zh-CN"/>
        </w:rPr>
        <w:t>录</w:t>
      </w:r>
    </w:p>
    <w:p>
      <w:pPr>
        <w:jc w:val="center"/>
      </w:pPr>
    </w:p>
    <w:p>
      <w:pPr>
        <w:pStyle w:val="10"/>
        <w:tabs>
          <w:tab w:val="right" w:leader="dot" w:pos="8306"/>
        </w:tabs>
      </w:pPr>
      <w:r>
        <w:fldChar w:fldCharType="begin"/>
      </w:r>
      <w:r>
        <w:instrText xml:space="preserve">TOC \o "1-3" \h \u </w:instrText>
      </w:r>
      <w:r>
        <w:fldChar w:fldCharType="separate"/>
      </w:r>
      <w:r>
        <w:fldChar w:fldCharType="begin"/>
      </w:r>
      <w:r>
        <w:instrText xml:space="preserve"> HYPERLINK \l "_Toc14423" </w:instrText>
      </w:r>
      <w:r>
        <w:fldChar w:fldCharType="separate"/>
      </w:r>
      <w:r>
        <w:rPr>
          <w:rFonts w:hint="eastAsia"/>
        </w:rPr>
        <w:t>1.诚信管理模块使用流程</w:t>
      </w:r>
      <w:r>
        <w:tab/>
      </w:r>
      <w:r>
        <w:fldChar w:fldCharType="begin"/>
      </w:r>
      <w:r>
        <w:instrText xml:space="preserve"> PAGEREF _Toc14423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"_Toc6933" </w:instrText>
      </w:r>
      <w:r>
        <w:fldChar w:fldCharType="separate"/>
      </w:r>
      <w:r>
        <w:t xml:space="preserve">2. </w:t>
      </w:r>
      <w:r>
        <w:rPr>
          <w:rFonts w:hint="eastAsia"/>
        </w:rPr>
        <w:t>各模块操作使用说明</w:t>
      </w:r>
      <w:r>
        <w:tab/>
      </w:r>
      <w:r>
        <w:fldChar w:fldCharType="begin"/>
      </w:r>
      <w:r>
        <w:instrText xml:space="preserve"> PAGEREF _Toc6933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"_Toc15532" </w:instrText>
      </w:r>
      <w:r>
        <w:fldChar w:fldCharType="separate"/>
      </w:r>
      <w:r>
        <w:rPr>
          <w:rFonts w:hint="eastAsia"/>
        </w:rPr>
        <w:t>2.1用户登录</w:t>
      </w:r>
      <w:r>
        <w:tab/>
      </w:r>
      <w:r>
        <w:fldChar w:fldCharType="begin"/>
      </w:r>
      <w:r>
        <w:instrText xml:space="preserve"> PAGEREF _Toc15532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"_Toc14307" </w:instrText>
      </w:r>
      <w:r>
        <w:fldChar w:fldCharType="separate"/>
      </w:r>
      <w:r>
        <w:rPr>
          <w:rFonts w:hint="eastAsia"/>
        </w:rPr>
        <w:t>2.1.1登录平台</w:t>
      </w:r>
      <w:r>
        <w:tab/>
      </w:r>
      <w:r>
        <w:fldChar w:fldCharType="begin"/>
      </w:r>
      <w:r>
        <w:instrText xml:space="preserve"> PAGEREF _Toc14307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"_Toc11764" </w:instrText>
      </w:r>
      <w:r>
        <w:fldChar w:fldCharType="separate"/>
      </w:r>
      <w:r>
        <w:rPr>
          <w:rFonts w:hint="eastAsia"/>
        </w:rPr>
        <w:t>2.</w:t>
      </w:r>
      <w:r>
        <w:t>1.2 平台菜单</w:t>
      </w:r>
      <w:r>
        <w:tab/>
      </w:r>
      <w:r>
        <w:fldChar w:fldCharType="begin"/>
      </w:r>
      <w:r>
        <w:instrText xml:space="preserve"> PAGEREF _Toc11764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"_Toc15763" </w:instrText>
      </w:r>
      <w:r>
        <w:fldChar w:fldCharType="separate"/>
      </w:r>
      <w:r>
        <w:rPr>
          <w:rFonts w:hint="eastAsia"/>
        </w:rPr>
        <w:t>2.2企业基本信息提交</w:t>
      </w:r>
      <w:r>
        <w:tab/>
      </w:r>
      <w:r>
        <w:fldChar w:fldCharType="begin"/>
      </w:r>
      <w:r>
        <w:instrText xml:space="preserve"> PAGEREF _Toc15763 \h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"_Toc32375" </w:instrText>
      </w:r>
      <w:r>
        <w:fldChar w:fldCharType="separate"/>
      </w:r>
      <w:r>
        <w:rPr>
          <w:rFonts w:hint="eastAsia"/>
        </w:rPr>
        <w:t>2.2.1进入企业信息管理模块</w:t>
      </w:r>
      <w:r>
        <w:tab/>
      </w:r>
      <w:r>
        <w:fldChar w:fldCharType="begin"/>
      </w:r>
      <w:r>
        <w:instrText xml:space="preserve"> PAGEREF _Toc32375 \h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"_Toc23797" </w:instrText>
      </w:r>
      <w:r>
        <w:fldChar w:fldCharType="separate"/>
      </w:r>
      <w:r>
        <w:rPr>
          <w:rFonts w:hint="eastAsia"/>
        </w:rPr>
        <w:t>2.2.2企业基本信息提交流程</w:t>
      </w:r>
      <w:r>
        <w:tab/>
      </w:r>
      <w:r>
        <w:fldChar w:fldCharType="begin"/>
      </w:r>
      <w:r>
        <w:instrText xml:space="preserve"> PAGEREF _Toc23797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"_Toc19623" </w:instrText>
      </w:r>
      <w:r>
        <w:fldChar w:fldCharType="separate"/>
      </w:r>
      <w:r>
        <w:rPr>
          <w:rFonts w:hint="eastAsia"/>
        </w:rPr>
        <w:t>2.2.3编辑企业基本信息</w:t>
      </w:r>
      <w:r>
        <w:tab/>
      </w:r>
      <w:r>
        <w:fldChar w:fldCharType="begin"/>
      </w:r>
      <w:r>
        <w:instrText xml:space="preserve"> PAGEREF _Toc19623 \h </w:instrText>
      </w:r>
      <w:r>
        <w:fldChar w:fldCharType="separate"/>
      </w:r>
      <w:r>
        <w:t>8</w:t>
      </w:r>
      <w:r>
        <w:fldChar w:fldCharType="end"/>
      </w:r>
      <w:r>
        <w:fldChar w:fldCharType="end"/>
      </w:r>
    </w:p>
    <w:p>
      <w:pPr>
        <w:pStyle w:val="7"/>
        <w:tabs>
          <w:tab w:val="right" w:leader="dot" w:pos="8306"/>
        </w:tabs>
      </w:pPr>
      <w:r>
        <w:fldChar w:fldCharType="begin"/>
      </w:r>
      <w:r>
        <w:instrText xml:space="preserve"> HYPERLINK \l "_Toc20476" </w:instrText>
      </w:r>
      <w:r>
        <w:fldChar w:fldCharType="separate"/>
      </w:r>
      <w:r>
        <w:rPr>
          <w:rFonts w:hint="eastAsia"/>
        </w:rPr>
        <w:t>2.2.3提交企业基本信息</w:t>
      </w:r>
      <w:r>
        <w:tab/>
      </w:r>
      <w:r>
        <w:fldChar w:fldCharType="begin"/>
      </w:r>
      <w:r>
        <w:instrText xml:space="preserve"> PAGEREF _Toc20476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"_Toc13036" </w:instrText>
      </w:r>
      <w:r>
        <w:fldChar w:fldCharType="separate"/>
      </w:r>
      <w:r>
        <w:rPr>
          <w:rFonts w:hint="eastAsia"/>
        </w:rPr>
        <w:t>2.3企业产值营收填报</w:t>
      </w:r>
      <w:r>
        <w:tab/>
      </w:r>
      <w:r>
        <w:fldChar w:fldCharType="begin"/>
      </w:r>
      <w:r>
        <w:instrText xml:space="preserve"> PAGEREF _Toc13036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"_Toc22210" </w:instrText>
      </w:r>
      <w:r>
        <w:fldChar w:fldCharType="separate"/>
      </w:r>
      <w:r>
        <w:rPr>
          <w:rFonts w:hint="eastAsia"/>
        </w:rPr>
        <w:t>2.3.1施工企业产值填报</w:t>
      </w:r>
      <w:r>
        <w:tab/>
      </w:r>
      <w:r>
        <w:fldChar w:fldCharType="begin"/>
      </w:r>
      <w:r>
        <w:instrText xml:space="preserve"> PAGEREF _Toc22210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"_Toc2814" </w:instrText>
      </w:r>
      <w:r>
        <w:fldChar w:fldCharType="separate"/>
      </w:r>
      <w:r>
        <w:rPr>
          <w:rFonts w:hint="eastAsia"/>
        </w:rPr>
        <w:t>2.3.2服务企业营收填报</w:t>
      </w:r>
      <w:r>
        <w:tab/>
      </w:r>
      <w:r>
        <w:fldChar w:fldCharType="begin"/>
      </w:r>
      <w:r>
        <w:instrText xml:space="preserve"> PAGEREF _Toc2814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"_Toc15871" </w:instrText>
      </w:r>
      <w:r>
        <w:fldChar w:fldCharType="separate"/>
      </w:r>
      <w:r>
        <w:rPr>
          <w:rFonts w:hint="eastAsia"/>
        </w:rPr>
        <w:t>2.4企业通常行为</w:t>
      </w:r>
      <w:r>
        <w:tab/>
      </w:r>
      <w:r>
        <w:fldChar w:fldCharType="begin"/>
      </w:r>
      <w:r>
        <w:instrText xml:space="preserve"> PAGEREF _Toc15871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"_Toc26899" </w:instrText>
      </w:r>
      <w:r>
        <w:fldChar w:fldCharType="separate"/>
      </w:r>
      <w:r>
        <w:rPr>
          <w:rFonts w:hint="eastAsia"/>
        </w:rPr>
        <w:t>2.4.1经济指标</w:t>
      </w:r>
      <w:r>
        <w:tab/>
      </w:r>
      <w:r>
        <w:fldChar w:fldCharType="begin"/>
      </w:r>
      <w:r>
        <w:instrText xml:space="preserve"> PAGEREF _Toc26899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"_Toc16898" </w:instrText>
      </w:r>
      <w:r>
        <w:fldChar w:fldCharType="separate"/>
      </w:r>
      <w:r>
        <w:rPr>
          <w:rFonts w:hint="eastAsia"/>
        </w:rPr>
        <w:t>2.4.2企业纳税等级</w:t>
      </w:r>
      <w:r>
        <w:tab/>
      </w:r>
      <w:r>
        <w:fldChar w:fldCharType="begin"/>
      </w:r>
      <w:r>
        <w:instrText xml:space="preserve"> PAGEREF _Toc16898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"_Toc30049" </w:instrText>
      </w:r>
      <w:r>
        <w:fldChar w:fldCharType="separate"/>
      </w:r>
      <w:r>
        <w:rPr>
          <w:rFonts w:hint="eastAsia"/>
        </w:rPr>
        <w:t>2.4.3良好信息</w:t>
      </w:r>
      <w:r>
        <w:tab/>
      </w:r>
      <w:r>
        <w:fldChar w:fldCharType="begin"/>
      </w:r>
      <w:r>
        <w:instrText xml:space="preserve"> PAGEREF _Toc30049 \h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"_Toc31405" </w:instrText>
      </w:r>
      <w:r>
        <w:fldChar w:fldCharType="separate"/>
      </w:r>
      <w:r>
        <w:rPr>
          <w:rFonts w:hint="eastAsia"/>
        </w:rPr>
        <w:t>2.4.3职工参保率及执业信息</w:t>
      </w:r>
      <w:r>
        <w:tab/>
      </w:r>
      <w:r>
        <w:fldChar w:fldCharType="begin"/>
      </w:r>
      <w:r>
        <w:instrText xml:space="preserve"> PAGEREF _Toc31405 \h </w:instrText>
      </w:r>
      <w:r>
        <w:fldChar w:fldCharType="separate"/>
      </w:r>
      <w:r>
        <w:t>25</w:t>
      </w:r>
      <w:r>
        <w:fldChar w:fldCharType="end"/>
      </w:r>
      <w:r>
        <w:fldChar w:fldCharType="end"/>
      </w:r>
    </w:p>
    <w:p>
      <w:pPr>
        <w:pStyle w:val="7"/>
        <w:tabs>
          <w:tab w:val="right" w:leader="dot" w:pos="8306"/>
        </w:tabs>
      </w:pPr>
      <w:r>
        <w:fldChar w:fldCharType="begin"/>
      </w:r>
      <w:r>
        <w:instrText xml:space="preserve"> HYPERLINK \l "_Toc16068" </w:instrText>
      </w:r>
      <w:r>
        <w:fldChar w:fldCharType="separate"/>
      </w:r>
      <w:r>
        <w:rPr>
          <w:rFonts w:hint="eastAsia"/>
        </w:rPr>
        <w:t>2.4.4第三方信用评价</w:t>
      </w:r>
      <w:r>
        <w:tab/>
      </w:r>
      <w:r>
        <w:fldChar w:fldCharType="begin"/>
      </w:r>
      <w:r>
        <w:instrText xml:space="preserve"> PAGEREF _Toc16068 \h </w:instrText>
      </w:r>
      <w:r>
        <w:fldChar w:fldCharType="separate"/>
      </w:r>
      <w:r>
        <w:t>28</w:t>
      </w:r>
      <w:r>
        <w:fldChar w:fldCharType="end"/>
      </w:r>
      <w:r>
        <w:fldChar w:fldCharType="end"/>
      </w:r>
    </w:p>
    <w:p>
      <w:pPr>
        <w:pStyle w:val="7"/>
        <w:tabs>
          <w:tab w:val="right" w:leader="dot" w:pos="8306"/>
        </w:tabs>
      </w:pPr>
      <w:r>
        <w:fldChar w:fldCharType="begin"/>
      </w:r>
      <w:r>
        <w:instrText xml:space="preserve"> HYPERLINK \l "_Toc8188" </w:instrText>
      </w:r>
      <w:r>
        <w:fldChar w:fldCharType="separate"/>
      </w:r>
      <w:r>
        <w:rPr>
          <w:rFonts w:hint="eastAsia"/>
        </w:rPr>
        <w:t>2.4.5不良信息</w:t>
      </w:r>
      <w:r>
        <w:tab/>
      </w:r>
      <w:r>
        <w:fldChar w:fldCharType="begin"/>
      </w:r>
      <w:r>
        <w:instrText xml:space="preserve"> PAGEREF _Toc8188 \h </w:instrText>
      </w:r>
      <w:r>
        <w:fldChar w:fldCharType="separate"/>
      </w:r>
      <w:r>
        <w:t>29</w:t>
      </w:r>
      <w:r>
        <w:fldChar w:fldCharType="end"/>
      </w:r>
      <w:r>
        <w:fldChar w:fldCharType="end"/>
      </w:r>
    </w:p>
    <w:p>
      <w:pPr>
        <w:pStyle w:val="11"/>
        <w:tabs>
          <w:tab w:val="right" w:leader="dot" w:pos="8306"/>
        </w:tabs>
      </w:pPr>
      <w:r>
        <w:fldChar w:fldCharType="begin"/>
      </w:r>
      <w:r>
        <w:instrText xml:space="preserve"> HYPERLINK \l "_Toc14220" </w:instrText>
      </w:r>
      <w:r>
        <w:fldChar w:fldCharType="separate"/>
      </w:r>
      <w:r>
        <w:rPr>
          <w:rFonts w:hint="eastAsia"/>
        </w:rPr>
        <w:t>2.5企业实施行为</w:t>
      </w:r>
      <w:r>
        <w:tab/>
      </w:r>
      <w:r>
        <w:fldChar w:fldCharType="begin"/>
      </w:r>
      <w:r>
        <w:instrText xml:space="preserve"> PAGEREF _Toc14220 \h </w:instrText>
      </w:r>
      <w:r>
        <w:fldChar w:fldCharType="separate"/>
      </w:r>
      <w:r>
        <w:t>30</w:t>
      </w:r>
      <w:r>
        <w:fldChar w:fldCharType="end"/>
      </w:r>
      <w:r>
        <w:fldChar w:fldCharType="end"/>
      </w:r>
    </w:p>
    <w:p>
      <w:pPr>
        <w:pStyle w:val="10"/>
        <w:tabs>
          <w:tab w:val="right" w:leader="dot" w:pos="8306"/>
        </w:tabs>
      </w:pPr>
      <w:r>
        <w:fldChar w:fldCharType="begin"/>
      </w:r>
      <w:r>
        <w:instrText xml:space="preserve"> HYPERLINK \l "_Toc13346" </w:instrText>
      </w:r>
      <w:r>
        <w:fldChar w:fldCharType="separate"/>
      </w:r>
      <w:r>
        <w:rPr>
          <w:rFonts w:hint="eastAsia"/>
        </w:rPr>
        <w:t>3.诚信评分各指标算分规则说明汇总</w:t>
      </w:r>
      <w:r>
        <w:tab/>
      </w:r>
      <w:r>
        <w:fldChar w:fldCharType="begin"/>
      </w:r>
      <w:r>
        <w:instrText xml:space="preserve"> PAGEREF _Toc13346 \h </w:instrText>
      </w:r>
      <w:r>
        <w:fldChar w:fldCharType="separate"/>
      </w:r>
      <w:r>
        <w:t>31</w:t>
      </w:r>
      <w:r>
        <w:fldChar w:fldCharType="end"/>
      </w:r>
      <w:r>
        <w:fldChar w:fldCharType="end"/>
      </w:r>
    </w:p>
    <w:p>
      <w:pPr>
        <w:pStyle w:val="11"/>
        <w:tabs>
          <w:tab w:val="right" w:leader="dot" w:pos="8306"/>
        </w:tabs>
      </w:pPr>
      <w:r>
        <w:fldChar w:fldCharType="begin"/>
      </w:r>
      <w:r>
        <w:instrText xml:space="preserve"> HYPERLINK \l "_Toc21948" </w:instrText>
      </w:r>
      <w:r>
        <w:fldChar w:fldCharType="separate"/>
      </w:r>
      <w:r>
        <w:rPr>
          <w:rFonts w:hint="eastAsia"/>
        </w:rPr>
        <w:t>3.1基础信息</w:t>
      </w:r>
      <w:r>
        <w:tab/>
      </w:r>
      <w:r>
        <w:fldChar w:fldCharType="begin"/>
      </w:r>
      <w:r>
        <w:instrText xml:space="preserve"> PAGEREF _Toc21948 \h </w:instrText>
      </w:r>
      <w:r>
        <w:fldChar w:fldCharType="separate"/>
      </w:r>
      <w:r>
        <w:t>32</w:t>
      </w:r>
      <w:r>
        <w:fldChar w:fldCharType="end"/>
      </w:r>
      <w:r>
        <w:fldChar w:fldCharType="end"/>
      </w:r>
    </w:p>
    <w:p>
      <w:pPr>
        <w:pStyle w:val="7"/>
        <w:tabs>
          <w:tab w:val="right" w:leader="dot" w:pos="8306"/>
        </w:tabs>
      </w:pPr>
      <w:r>
        <w:fldChar w:fldCharType="begin"/>
      </w:r>
      <w:r>
        <w:instrText xml:space="preserve"> HYPERLINK \l "_Toc18249" </w:instrText>
      </w:r>
      <w:r>
        <w:fldChar w:fldCharType="separate"/>
      </w:r>
      <w:r>
        <w:rPr>
          <w:rFonts w:hint="eastAsia"/>
        </w:rPr>
        <w:t>3.1.1企业资质：</w:t>
      </w:r>
      <w:r>
        <w:tab/>
      </w:r>
      <w:r>
        <w:fldChar w:fldCharType="begin"/>
      </w:r>
      <w:r>
        <w:instrText xml:space="preserve"> PAGEREF _Toc18249 \h </w:instrText>
      </w:r>
      <w:r>
        <w:fldChar w:fldCharType="separate"/>
      </w:r>
      <w:r>
        <w:t>32</w:t>
      </w:r>
      <w:r>
        <w:fldChar w:fldCharType="end"/>
      </w:r>
      <w:r>
        <w:fldChar w:fldCharType="end"/>
      </w:r>
    </w:p>
    <w:p>
      <w:pPr>
        <w:pStyle w:val="7"/>
        <w:tabs>
          <w:tab w:val="right" w:leader="dot" w:pos="8306"/>
        </w:tabs>
      </w:pPr>
      <w:r>
        <w:fldChar w:fldCharType="begin"/>
      </w:r>
      <w:r>
        <w:instrText xml:space="preserve"> HYPERLINK \l "_Toc23107" </w:instrText>
      </w:r>
      <w:r>
        <w:fldChar w:fldCharType="separate"/>
      </w:r>
      <w:r>
        <w:rPr>
          <w:rFonts w:hint="eastAsia"/>
        </w:rPr>
        <w:t>3.1.2在册专业技术人员</w:t>
      </w:r>
      <w:r>
        <w:tab/>
      </w:r>
      <w:r>
        <w:fldChar w:fldCharType="begin"/>
      </w:r>
      <w:r>
        <w:instrText xml:space="preserve"> PAGEREF _Toc23107 \h </w:instrText>
      </w:r>
      <w:r>
        <w:fldChar w:fldCharType="separate"/>
      </w:r>
      <w:r>
        <w:t>32</w:t>
      </w:r>
      <w:r>
        <w:fldChar w:fldCharType="end"/>
      </w:r>
      <w:r>
        <w:fldChar w:fldCharType="end"/>
      </w:r>
    </w:p>
    <w:p>
      <w:pPr>
        <w:pStyle w:val="7"/>
        <w:tabs>
          <w:tab w:val="right" w:leader="dot" w:pos="8306"/>
        </w:tabs>
      </w:pPr>
      <w:r>
        <w:fldChar w:fldCharType="begin"/>
      </w:r>
      <w:r>
        <w:instrText xml:space="preserve"> HYPERLINK \l "_Toc27240" </w:instrText>
      </w:r>
      <w:r>
        <w:fldChar w:fldCharType="separate"/>
      </w:r>
      <w:r>
        <w:rPr>
          <w:rFonts w:hint="eastAsia"/>
        </w:rPr>
        <w:t>3.1.3评价周期内在滇产值（营收）完成情况：</w:t>
      </w:r>
      <w:r>
        <w:tab/>
      </w:r>
      <w:r>
        <w:fldChar w:fldCharType="begin"/>
      </w:r>
      <w:r>
        <w:instrText xml:space="preserve"> PAGEREF _Toc27240 \h </w:instrText>
      </w:r>
      <w:r>
        <w:fldChar w:fldCharType="separate"/>
      </w:r>
      <w:r>
        <w:t>32</w:t>
      </w:r>
      <w:r>
        <w:fldChar w:fldCharType="end"/>
      </w:r>
      <w:r>
        <w:fldChar w:fldCharType="end"/>
      </w:r>
    </w:p>
    <w:p>
      <w:pPr>
        <w:pStyle w:val="7"/>
        <w:tabs>
          <w:tab w:val="right" w:leader="dot" w:pos="8306"/>
        </w:tabs>
      </w:pPr>
      <w:r>
        <w:fldChar w:fldCharType="begin"/>
      </w:r>
      <w:r>
        <w:instrText xml:space="preserve"> HYPERLINK \l "_Toc7921" </w:instrText>
      </w:r>
      <w:r>
        <w:fldChar w:fldCharType="separate"/>
      </w:r>
      <w:r>
        <w:rPr>
          <w:rFonts w:hint="eastAsia"/>
        </w:rPr>
        <w:t>3.1.4近五年已完工项目及在建项目信息</w:t>
      </w:r>
      <w:r>
        <w:tab/>
      </w:r>
      <w:r>
        <w:fldChar w:fldCharType="begin"/>
      </w:r>
      <w:r>
        <w:instrText xml:space="preserve"> PAGEREF _Toc7921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"_Toc20954" </w:instrText>
      </w:r>
      <w:r>
        <w:fldChar w:fldCharType="separate"/>
      </w:r>
      <w:r>
        <w:rPr>
          <w:rFonts w:hint="eastAsia"/>
        </w:rPr>
        <w:t>3.2经济指标</w:t>
      </w:r>
      <w:r>
        <w:tab/>
      </w:r>
      <w:r>
        <w:fldChar w:fldCharType="begin"/>
      </w:r>
      <w:r>
        <w:instrText xml:space="preserve"> PAGEREF _Toc20954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"_Toc2368" </w:instrText>
      </w:r>
      <w:r>
        <w:fldChar w:fldCharType="separate"/>
      </w:r>
      <w:r>
        <w:rPr>
          <w:rFonts w:hint="eastAsia"/>
        </w:rPr>
        <w:t>3.3纳税等级</w:t>
      </w:r>
      <w:r>
        <w:tab/>
      </w:r>
      <w:r>
        <w:fldChar w:fldCharType="begin"/>
      </w:r>
      <w:r>
        <w:instrText xml:space="preserve"> PAGEREF _Toc2368 \h </w:instrText>
      </w:r>
      <w:r>
        <w:fldChar w:fldCharType="separate"/>
      </w:r>
      <w:r>
        <w:t>32</w:t>
      </w:r>
      <w:r>
        <w:fldChar w:fldCharType="end"/>
      </w:r>
      <w:r>
        <w:fldChar w:fldCharType="end"/>
      </w:r>
    </w:p>
    <w:p>
      <w:pPr>
        <w:pStyle w:val="11"/>
        <w:tabs>
          <w:tab w:val="right" w:leader="dot" w:pos="8306"/>
        </w:tabs>
      </w:pPr>
      <w:r>
        <w:fldChar w:fldCharType="begin"/>
      </w:r>
      <w:r>
        <w:instrText xml:space="preserve"> HYPERLINK \l "_Toc28056" </w:instrText>
      </w:r>
      <w:r>
        <w:fldChar w:fldCharType="separate"/>
      </w:r>
      <w:r>
        <w:rPr>
          <w:rFonts w:hint="eastAsia"/>
        </w:rPr>
        <w:t>3.4信用评价</w:t>
      </w:r>
      <w:r>
        <w:tab/>
      </w:r>
      <w:r>
        <w:fldChar w:fldCharType="begin"/>
      </w:r>
      <w:r>
        <w:instrText xml:space="preserve"> PAGEREF _Toc28056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"_Toc28707" </w:instrText>
      </w:r>
      <w:r>
        <w:fldChar w:fldCharType="separate"/>
      </w:r>
      <w:r>
        <w:rPr>
          <w:rFonts w:hint="eastAsia"/>
        </w:rPr>
        <w:t>3.5良好信息</w:t>
      </w:r>
      <w:r>
        <w:tab/>
      </w:r>
      <w:r>
        <w:fldChar w:fldCharType="begin"/>
      </w:r>
      <w:r>
        <w:instrText xml:space="preserve"> PAGEREF _Toc28707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"_Toc11325" </w:instrText>
      </w:r>
      <w:r>
        <w:fldChar w:fldCharType="separate"/>
      </w:r>
      <w:r>
        <w:rPr>
          <w:rFonts w:hint="eastAsia"/>
        </w:rPr>
        <w:t>3.6企业职工参保率</w:t>
      </w:r>
      <w:r>
        <w:tab/>
      </w:r>
      <w:r>
        <w:fldChar w:fldCharType="begin"/>
      </w:r>
      <w:r>
        <w:instrText xml:space="preserve"> PAGEREF _Toc11325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"_Toc30065" </w:instrText>
      </w:r>
      <w:r>
        <w:fldChar w:fldCharType="separate"/>
      </w:r>
      <w:r>
        <w:rPr>
          <w:rFonts w:hint="eastAsia"/>
        </w:rPr>
        <w:t>3.7企业职工执业信息</w:t>
      </w:r>
      <w:r>
        <w:tab/>
      </w:r>
      <w:r>
        <w:fldChar w:fldCharType="begin"/>
      </w:r>
      <w:r>
        <w:instrText xml:space="preserve"> PAGEREF _Toc30065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"_Toc1858" </w:instrText>
      </w:r>
      <w:r>
        <w:fldChar w:fldCharType="separate"/>
      </w:r>
      <w:r>
        <w:rPr>
          <w:rFonts w:hint="eastAsia"/>
        </w:rPr>
        <w:t>3.8不良信息</w:t>
      </w:r>
      <w:r>
        <w:tab/>
      </w:r>
      <w:r>
        <w:fldChar w:fldCharType="begin"/>
      </w:r>
      <w:r>
        <w:instrText xml:space="preserve"> PAGEREF _Toc1858 \h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"_Toc6068" </w:instrText>
      </w:r>
      <w:r>
        <w:fldChar w:fldCharType="separate"/>
      </w:r>
      <w:r>
        <w:rPr>
          <w:rFonts w:hint="eastAsia"/>
        </w:rPr>
        <w:t>3.9企业实施行为</w:t>
      </w:r>
      <w:r>
        <w:tab/>
      </w:r>
      <w:r>
        <w:fldChar w:fldCharType="begin"/>
      </w:r>
      <w:r>
        <w:instrText xml:space="preserve"> PAGEREF _Toc6068 \h </w:instrText>
      </w:r>
      <w:r>
        <w:fldChar w:fldCharType="separate"/>
      </w:r>
      <w:r>
        <w:t>33</w:t>
      </w:r>
      <w:r>
        <w:fldChar w:fldCharType="end"/>
      </w:r>
      <w:r>
        <w:fldChar w:fldCharType="end"/>
      </w:r>
    </w:p>
    <w:p>
      <w:pPr>
        <w:pStyle w:val="17"/>
        <w:tabs>
          <w:tab w:val="right" w:leader="dot" w:pos="8306"/>
        </w:tabs>
        <w:rPr>
          <w:rFonts w:ascii="宋体" w:hAnsi="宋体" w:cs="Times New Roman"/>
          <w:kern w:val="2"/>
          <w:sz w:val="21"/>
          <w:szCs w:val="24"/>
        </w:rPr>
      </w:pPr>
      <w:r>
        <w:fldChar w:fldCharType="end"/>
      </w:r>
    </w:p>
    <w:p>
      <w:pPr>
        <w:pStyle w:val="17"/>
        <w:tabs>
          <w:tab w:val="right" w:leader="dot" w:pos="8306"/>
        </w:tabs>
        <w:rPr>
          <w:rFonts w:ascii="微软雅黑" w:hAnsi="微软雅黑"/>
          <w:bCs/>
          <w:sz w:val="32"/>
        </w:rPr>
      </w:pPr>
      <w:r>
        <w:rPr>
          <w:rFonts w:ascii="微软雅黑" w:hAnsi="微软雅黑" w:cs="Times New Roman"/>
          <w:b/>
          <w:bCs/>
          <w:sz w:val="24"/>
          <w:szCs w:val="24"/>
        </w:rPr>
        <w:br w:type="page"/>
      </w:r>
    </w:p>
    <w:p>
      <w:pPr>
        <w:pStyle w:val="2"/>
      </w:pPr>
      <w:bookmarkStart w:id="0" w:name="_Toc14423"/>
      <w:r>
        <w:rPr>
          <w:rFonts w:hint="eastAsia"/>
        </w:rPr>
        <w:t>1.诚信管理模块使用流程</w:t>
      </w:r>
      <w:bookmarkEnd w:id="0"/>
    </w:p>
    <w:p>
      <w:r>
        <w:drawing>
          <wp:inline distT="0" distB="0" distL="114300" distR="114300">
            <wp:extent cx="5273040" cy="7095490"/>
            <wp:effectExtent l="0" t="0" r="3810" b="10160"/>
            <wp:docPr id="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true"/>
                    </pic:cNvPicPr>
                  </pic:nvPicPr>
                  <pic:blipFill>
                    <a:blip r:embed="rId4"/>
                    <a:stretch>
                      <a:fillRect/>
                    </a:stretch>
                  </pic:blipFill>
                  <pic:spPr>
                    <a:xfrm>
                      <a:off x="0" y="0"/>
                      <a:ext cx="5273040" cy="7095490"/>
                    </a:xfrm>
                    <a:prstGeom prst="rect">
                      <a:avLst/>
                    </a:prstGeom>
                    <a:noFill/>
                    <a:ln>
                      <a:noFill/>
                    </a:ln>
                  </pic:spPr>
                </pic:pic>
              </a:graphicData>
            </a:graphic>
          </wp:inline>
        </w:drawing>
      </w:r>
    </w:p>
    <w:p>
      <w:r>
        <w:rPr>
          <w:rFonts w:hint="eastAsia"/>
        </w:rPr>
        <w:t>流程描述：</w:t>
      </w:r>
    </w:p>
    <w:p>
      <w:pPr>
        <w:numPr>
          <w:ilvl w:val="0"/>
          <w:numId w:val="1"/>
        </w:numPr>
        <w:jc w:val="left"/>
      </w:pPr>
      <w:r>
        <w:rPr>
          <w:rFonts w:hint="eastAsia"/>
        </w:rPr>
        <w:t>【用户登录】：用户打开一体化管理系统登录页，输入用户名、密码、验证码登录后台</w:t>
      </w:r>
    </w:p>
    <w:p>
      <w:pPr>
        <w:numPr>
          <w:ilvl w:val="0"/>
          <w:numId w:val="1"/>
        </w:numPr>
        <w:jc w:val="left"/>
      </w:pPr>
      <w:r>
        <w:rPr>
          <w:rFonts w:hint="eastAsia"/>
        </w:rPr>
        <w:t>【选择办理的业务】点击“诚信管理”模块进入系统</w:t>
      </w:r>
    </w:p>
    <w:p>
      <w:pPr>
        <w:numPr>
          <w:ilvl w:val="0"/>
          <w:numId w:val="1"/>
        </w:numPr>
        <w:jc w:val="left"/>
      </w:pPr>
      <w:r>
        <w:rPr>
          <w:rFonts w:hint="eastAsia"/>
        </w:rPr>
        <w:t>【是否提交企业基本信息】：企业需先完成提交企业基本信息流程才可进入诚信管理模块</w:t>
      </w:r>
    </w:p>
    <w:p>
      <w:pPr>
        <w:numPr>
          <w:ilvl w:val="0"/>
          <w:numId w:val="1"/>
        </w:numPr>
        <w:jc w:val="left"/>
      </w:pPr>
      <w:r>
        <w:rPr>
          <w:rFonts w:hint="eastAsia"/>
        </w:rPr>
        <w:t>【进入诚信管理模块】：进入诚信管理模块后，企业可于诚信管理模块填报产值营收、纳税等级、良好信息，并可查询其他模块数据。</w:t>
      </w:r>
    </w:p>
    <w:p>
      <w:pPr>
        <w:pStyle w:val="2"/>
        <w:numPr>
          <w:ilvl w:val="0"/>
          <w:numId w:val="2"/>
        </w:numPr>
      </w:pPr>
      <w:bookmarkStart w:id="1" w:name="_Toc6933"/>
      <w:r>
        <w:rPr>
          <w:rFonts w:hint="eastAsia"/>
        </w:rPr>
        <w:t>各模块操作使用说明</w:t>
      </w:r>
      <w:bookmarkEnd w:id="1"/>
    </w:p>
    <w:p>
      <w:pPr>
        <w:pStyle w:val="3"/>
      </w:pPr>
      <w:bookmarkStart w:id="2" w:name="_Toc15532"/>
      <w:r>
        <w:rPr>
          <w:rFonts w:hint="eastAsia"/>
        </w:rPr>
        <w:t>2.1用户登录</w:t>
      </w:r>
      <w:bookmarkEnd w:id="2"/>
    </w:p>
    <w:p>
      <w:r>
        <w:rPr>
          <w:rFonts w:hint="eastAsia"/>
        </w:rPr>
        <w:t>“2.1用户登录”说明了企业用户登录平台的相关操作。</w:t>
      </w:r>
    </w:p>
    <w:p>
      <w:pPr>
        <w:pStyle w:val="4"/>
      </w:pPr>
      <w:bookmarkStart w:id="3" w:name="_Toc14307"/>
      <w:r>
        <w:rPr>
          <w:rFonts w:hint="eastAsia"/>
        </w:rPr>
        <w:t>2.1.1登录平台</w:t>
      </w:r>
      <w:bookmarkEnd w:id="3"/>
    </w:p>
    <w:p>
      <w:pPr>
        <w:jc w:val="left"/>
      </w:pPr>
      <w:r>
        <w:rPr>
          <w:rFonts w:hint="eastAsia"/>
        </w:rPr>
        <w:t>进入云南省建筑市场监管与诚信信息网一体化管理平台 （</w:t>
      </w:r>
      <w:r>
        <w:rPr>
          <w:rFonts w:hint="eastAsia" w:ascii="微软雅黑" w:hAnsi="微软雅黑" w:eastAsia="微软雅黑" w:cs="微软雅黑"/>
          <w:sz w:val="16"/>
          <w:szCs w:val="16"/>
        </w:rPr>
        <w:t>https://yth.ynjzjgcx.com/html/login.html</w:t>
      </w:r>
      <w:r>
        <w:rPr>
          <w:rFonts w:hint="eastAsia"/>
        </w:rPr>
        <w:t>）</w:t>
      </w:r>
    </w:p>
    <w:p>
      <w:pPr>
        <w:jc w:val="left"/>
      </w:pPr>
      <w:r>
        <w:drawing>
          <wp:inline distT="0" distB="0" distL="114300" distR="114300">
            <wp:extent cx="5266690" cy="2515235"/>
            <wp:effectExtent l="0" t="0" r="10160" b="18415"/>
            <wp:docPr id="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true"/>
                    </pic:cNvPicPr>
                  </pic:nvPicPr>
                  <pic:blipFill>
                    <a:blip r:embed="rId5"/>
                    <a:stretch>
                      <a:fillRect/>
                    </a:stretch>
                  </pic:blipFill>
                  <pic:spPr>
                    <a:xfrm>
                      <a:off x="0" y="0"/>
                      <a:ext cx="5266690" cy="2515235"/>
                    </a:xfrm>
                    <a:prstGeom prst="rect">
                      <a:avLst/>
                    </a:prstGeom>
                    <a:noFill/>
                    <a:ln>
                      <a:noFill/>
                    </a:ln>
                  </pic:spPr>
                </pic:pic>
              </a:graphicData>
            </a:graphic>
          </wp:inline>
        </w:drawing>
      </w:r>
    </w:p>
    <w:p>
      <w:pPr>
        <w:jc w:val="left"/>
      </w:pPr>
      <w:r>
        <w:rPr>
          <w:rFonts w:hint="eastAsia"/>
        </w:rPr>
        <w:t>【用户登录】：用户打开一体化管理系统登录页，输入用户名、密码、验证码登录后台</w:t>
      </w:r>
    </w:p>
    <w:p>
      <w:pPr>
        <w:jc w:val="left"/>
      </w:pPr>
      <w:r>
        <w:rPr>
          <w:rFonts w:hint="eastAsia"/>
        </w:rPr>
        <w:drawing>
          <wp:inline distT="0" distB="0" distL="114300" distR="114300">
            <wp:extent cx="5262880" cy="2635250"/>
            <wp:effectExtent l="0" t="0" r="13970" b="12700"/>
            <wp:docPr id="3" name="图片 14" descr="162607871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4" descr="1626078719(1)"/>
                    <pic:cNvPicPr>
                      <a:picLocks noChangeAspect="true"/>
                    </pic:cNvPicPr>
                  </pic:nvPicPr>
                  <pic:blipFill>
                    <a:blip r:embed="rId6"/>
                    <a:stretch>
                      <a:fillRect/>
                    </a:stretch>
                  </pic:blipFill>
                  <pic:spPr>
                    <a:xfrm>
                      <a:off x="0" y="0"/>
                      <a:ext cx="5262880" cy="2635250"/>
                    </a:xfrm>
                    <a:prstGeom prst="rect">
                      <a:avLst/>
                    </a:prstGeom>
                    <a:noFill/>
                    <a:ln>
                      <a:noFill/>
                    </a:ln>
                  </pic:spPr>
                </pic:pic>
              </a:graphicData>
            </a:graphic>
          </wp:inline>
        </w:drawing>
      </w:r>
    </w:p>
    <w:p>
      <w:pPr>
        <w:jc w:val="left"/>
      </w:pPr>
      <w:r>
        <w:rPr>
          <w:rFonts w:hint="eastAsia"/>
        </w:rPr>
        <w:t>【选择办理的业务】点击诚信管理模块，进入系统后台</w:t>
      </w:r>
    </w:p>
    <w:p>
      <w:pPr>
        <w:jc w:val="left"/>
      </w:pPr>
    </w:p>
    <w:p>
      <w:pPr>
        <w:pStyle w:val="4"/>
      </w:pPr>
      <w:bookmarkStart w:id="4" w:name="_Toc11764"/>
      <w:r>
        <w:rPr>
          <w:rFonts w:hint="eastAsia"/>
        </w:rPr>
        <w:t>2.</w:t>
      </w:r>
      <w:r>
        <w:t>1.2 平台菜单</w:t>
      </w:r>
      <w:bookmarkEnd w:id="4"/>
    </w:p>
    <w:p>
      <w:pPr>
        <w:rPr>
          <w:rFonts w:ascii="宋体" w:hAnsi="宋体" w:eastAsia="宋体" w:cs="宋体"/>
          <w:sz w:val="24"/>
        </w:rPr>
      </w:pPr>
      <w:r>
        <w:rPr>
          <w:rFonts w:ascii="宋体" w:hAnsi="宋体" w:eastAsia="宋体" w:cs="宋体"/>
          <w:sz w:val="24"/>
        </w:rPr>
        <w:t>成功登录</w:t>
      </w:r>
      <w:r>
        <w:rPr>
          <w:rFonts w:hint="eastAsia" w:ascii="宋体" w:hAnsi="宋体" w:eastAsia="宋体" w:cs="宋体"/>
          <w:sz w:val="24"/>
        </w:rPr>
        <w:t>即可</w:t>
      </w:r>
      <w:r>
        <w:rPr>
          <w:rFonts w:ascii="宋体" w:hAnsi="宋体" w:eastAsia="宋体" w:cs="宋体"/>
          <w:sz w:val="24"/>
        </w:rPr>
        <w:t>进入系统首页，首页包含通知公告、待办事项、操作日志等内容</w:t>
      </w:r>
      <w:r>
        <w:rPr>
          <w:rFonts w:hint="eastAsia" w:ascii="宋体" w:hAnsi="宋体" w:eastAsia="宋体" w:cs="宋体"/>
          <w:sz w:val="24"/>
        </w:rPr>
        <w:t>。</w:t>
      </w:r>
    </w:p>
    <w:p>
      <w:r>
        <w:drawing>
          <wp:inline distT="0" distB="0" distL="114300" distR="114300">
            <wp:extent cx="5266690" cy="2570480"/>
            <wp:effectExtent l="0" t="0" r="10160" b="1270"/>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7"/>
                    <a:stretch>
                      <a:fillRect/>
                    </a:stretch>
                  </pic:blipFill>
                  <pic:spPr>
                    <a:xfrm>
                      <a:off x="0" y="0"/>
                      <a:ext cx="5266690" cy="2570480"/>
                    </a:xfrm>
                    <a:prstGeom prst="rect">
                      <a:avLst/>
                    </a:prstGeom>
                    <a:noFill/>
                    <a:ln>
                      <a:noFill/>
                    </a:ln>
                  </pic:spPr>
                </pic:pic>
              </a:graphicData>
            </a:graphic>
          </wp:inline>
        </w:drawing>
      </w:r>
    </w:p>
    <w:p>
      <w:pPr>
        <w:rPr>
          <w:rFonts w:ascii="宋体" w:hAnsi="宋体" w:eastAsia="宋体" w:cs="宋体"/>
          <w:sz w:val="24"/>
        </w:rPr>
      </w:pPr>
    </w:p>
    <w:p>
      <w:pPr>
        <w:rPr>
          <w:rFonts w:ascii="宋体" w:hAnsi="宋体" w:eastAsia="宋体" w:cs="宋体"/>
          <w:sz w:val="24"/>
        </w:rPr>
      </w:pPr>
      <w:r>
        <w:rPr>
          <w:rFonts w:ascii="宋体" w:hAnsi="宋体" w:eastAsia="宋体" w:cs="宋体"/>
          <w:sz w:val="24"/>
        </w:rPr>
        <w:t>可由左侧菜单进入“诚信管理”</w:t>
      </w:r>
      <w:r>
        <w:rPr>
          <w:rFonts w:hint="eastAsia" w:ascii="宋体" w:hAnsi="宋体" w:eastAsia="宋体" w:cs="宋体"/>
          <w:sz w:val="24"/>
        </w:rPr>
        <w:t>模块。</w:t>
      </w:r>
    </w:p>
    <w:p>
      <w:pPr>
        <w:rPr>
          <w:rFonts w:ascii="宋体" w:hAnsi="宋体" w:eastAsia="宋体" w:cs="宋体"/>
          <w:color w:val="FF0000"/>
          <w:sz w:val="24"/>
        </w:rPr>
      </w:pPr>
      <w:r>
        <w:rPr>
          <w:rFonts w:hint="eastAsia" w:ascii="宋体" w:hAnsi="宋体" w:eastAsia="宋体" w:cs="宋体"/>
          <w:color w:val="FF0000"/>
          <w:sz w:val="24"/>
        </w:rPr>
        <w:t>注意：进入“诚信管理”模块前需先于“基本信息”提交企业基本信息。</w:t>
      </w:r>
    </w:p>
    <w:p>
      <w:r>
        <w:drawing>
          <wp:inline distT="0" distB="0" distL="114300" distR="114300">
            <wp:extent cx="5266690" cy="2570480"/>
            <wp:effectExtent l="0" t="0" r="10160" b="1270"/>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8"/>
                    <a:stretch>
                      <a:fillRect/>
                    </a:stretch>
                  </pic:blipFill>
                  <pic:spPr>
                    <a:xfrm>
                      <a:off x="0" y="0"/>
                      <a:ext cx="5266690" cy="2570480"/>
                    </a:xfrm>
                    <a:prstGeom prst="rect">
                      <a:avLst/>
                    </a:prstGeom>
                    <a:noFill/>
                    <a:ln>
                      <a:noFill/>
                    </a:ln>
                  </pic:spPr>
                </pic:pic>
              </a:graphicData>
            </a:graphic>
          </wp:inline>
        </w:drawing>
      </w:r>
    </w:p>
    <w:p/>
    <w:p>
      <w:pPr>
        <w:pStyle w:val="3"/>
      </w:pPr>
      <w:bookmarkStart w:id="5" w:name="_Toc15763"/>
      <w:r>
        <w:rPr>
          <w:rFonts w:hint="eastAsia"/>
        </w:rPr>
        <w:t>2.2企业基本信息提交</w:t>
      </w:r>
      <w:bookmarkEnd w:id="5"/>
    </w:p>
    <w:p>
      <w:r>
        <w:rPr>
          <w:rFonts w:hint="eastAsia"/>
        </w:rPr>
        <w:t>“2.2企业基本信息提交”说明了企业如何完成企业基本信息提交流程。</w:t>
      </w:r>
    </w:p>
    <w:p>
      <w:pPr>
        <w:pStyle w:val="4"/>
      </w:pPr>
      <w:bookmarkStart w:id="6" w:name="_Toc32375"/>
      <w:r>
        <w:rPr>
          <w:rFonts w:hint="eastAsia"/>
        </w:rPr>
        <w:t>2.2.1进入企业信息管理模块</w:t>
      </w:r>
      <w:bookmarkEnd w:id="6"/>
    </w:p>
    <w:p>
      <w:pPr>
        <w:rPr>
          <w:rFonts w:eastAsia="宋体"/>
        </w:rPr>
      </w:pPr>
      <w:r>
        <w:rPr>
          <w:rFonts w:ascii="宋体" w:hAnsi="宋体" w:eastAsia="宋体" w:cs="宋体"/>
          <w:sz w:val="24"/>
        </w:rPr>
        <w:t>可由左侧菜单进入“</w:t>
      </w:r>
      <w:r>
        <w:rPr>
          <w:rFonts w:hint="eastAsia" w:ascii="宋体" w:hAnsi="宋体" w:eastAsia="宋体" w:cs="宋体"/>
          <w:sz w:val="24"/>
        </w:rPr>
        <w:t>基本信息</w:t>
      </w:r>
      <w:r>
        <w:rPr>
          <w:rFonts w:ascii="宋体" w:hAnsi="宋体" w:eastAsia="宋体" w:cs="宋体"/>
          <w:sz w:val="24"/>
        </w:rPr>
        <w:t>”</w:t>
      </w:r>
      <w:r>
        <w:rPr>
          <w:rFonts w:hint="eastAsia" w:ascii="宋体" w:hAnsi="宋体" w:eastAsia="宋体" w:cs="宋体"/>
          <w:sz w:val="24"/>
        </w:rPr>
        <w:t>-“企业基本信息”-“企业信息管理”</w:t>
      </w:r>
    </w:p>
    <w:p/>
    <w:p>
      <w:r>
        <w:drawing>
          <wp:inline distT="0" distB="0" distL="114300" distR="114300">
            <wp:extent cx="5266690" cy="2570480"/>
            <wp:effectExtent l="0" t="0" r="10160" b="1270"/>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pic:cNvPicPr>
                  </pic:nvPicPr>
                  <pic:blipFill>
                    <a:blip r:embed="rId9"/>
                    <a:stretch>
                      <a:fillRect/>
                    </a:stretch>
                  </pic:blipFill>
                  <pic:spPr>
                    <a:xfrm>
                      <a:off x="0" y="0"/>
                      <a:ext cx="5266690" cy="2570480"/>
                    </a:xfrm>
                    <a:prstGeom prst="rect">
                      <a:avLst/>
                    </a:prstGeom>
                    <a:noFill/>
                    <a:ln>
                      <a:noFill/>
                    </a:ln>
                  </pic:spPr>
                </pic:pic>
              </a:graphicData>
            </a:graphic>
          </wp:inline>
        </w:drawing>
      </w:r>
    </w:p>
    <w:p/>
    <w:p>
      <w:r>
        <w:drawing>
          <wp:inline distT="0" distB="0" distL="114300" distR="114300">
            <wp:extent cx="5266690" cy="2570480"/>
            <wp:effectExtent l="0" t="0" r="10160" b="1270"/>
            <wp:docPr id="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true"/>
                    </pic:cNvPicPr>
                  </pic:nvPicPr>
                  <pic:blipFill>
                    <a:blip r:embed="rId10"/>
                    <a:stretch>
                      <a:fillRect/>
                    </a:stretch>
                  </pic:blipFill>
                  <pic:spPr>
                    <a:xfrm>
                      <a:off x="0" y="0"/>
                      <a:ext cx="5266690" cy="2570480"/>
                    </a:xfrm>
                    <a:prstGeom prst="rect">
                      <a:avLst/>
                    </a:prstGeom>
                    <a:noFill/>
                    <a:ln>
                      <a:noFill/>
                    </a:ln>
                  </pic:spPr>
                </pic:pic>
              </a:graphicData>
            </a:graphic>
          </wp:inline>
        </w:drawing>
      </w:r>
    </w:p>
    <w:p/>
    <w:p>
      <w:pPr>
        <w:pStyle w:val="4"/>
      </w:pPr>
      <w:bookmarkStart w:id="7" w:name="_Toc23797"/>
      <w:r>
        <w:rPr>
          <w:rFonts w:hint="eastAsia"/>
        </w:rPr>
        <w:t>2.2.2企业基本信息提交流程</w:t>
      </w:r>
      <w:bookmarkEnd w:id="7"/>
    </w:p>
    <w:p>
      <w:pPr>
        <w:jc w:val="left"/>
      </w:pPr>
      <w:r>
        <w:drawing>
          <wp:inline distT="0" distB="0" distL="114300" distR="114300">
            <wp:extent cx="5266055" cy="1643380"/>
            <wp:effectExtent l="0" t="0" r="10795" b="13970"/>
            <wp:docPr id="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true"/>
                    </pic:cNvPicPr>
                  </pic:nvPicPr>
                  <pic:blipFill>
                    <a:blip r:embed="rId11"/>
                    <a:stretch>
                      <a:fillRect/>
                    </a:stretch>
                  </pic:blipFill>
                  <pic:spPr>
                    <a:xfrm>
                      <a:off x="0" y="0"/>
                      <a:ext cx="5266055" cy="1643380"/>
                    </a:xfrm>
                    <a:prstGeom prst="rect">
                      <a:avLst/>
                    </a:prstGeom>
                    <a:noFill/>
                    <a:ln>
                      <a:noFill/>
                    </a:ln>
                  </pic:spPr>
                </pic:pic>
              </a:graphicData>
            </a:graphic>
          </wp:inline>
        </w:drawing>
      </w:r>
    </w:p>
    <w:p>
      <w:pPr>
        <w:jc w:val="left"/>
      </w:pPr>
      <w:r>
        <w:rPr>
          <w:rFonts w:hint="eastAsia"/>
        </w:rPr>
        <w:t>流程描述：</w:t>
      </w:r>
    </w:p>
    <w:p>
      <w:r>
        <w:rPr>
          <w:rFonts w:hint="eastAsia"/>
        </w:rPr>
        <w:t>1.【用户登录】：用户打开一体化管理系统登录页，输入用户名、密码、验证码登录后台；</w:t>
      </w:r>
    </w:p>
    <w:p>
      <w:r>
        <w:rPr>
          <w:rFonts w:hint="eastAsia"/>
        </w:rPr>
        <w:t>2.【选择办理的业务】点击“诚信管理”模块进入系统；</w:t>
      </w:r>
    </w:p>
    <w:p>
      <w:r>
        <w:rPr>
          <w:rFonts w:hint="eastAsia"/>
        </w:rPr>
        <w:t>3.【基本信息模块】点击左侧菜单“基本信息”展开子菜单；</w:t>
      </w:r>
    </w:p>
    <w:p>
      <w:r>
        <w:rPr>
          <w:rFonts w:hint="eastAsia"/>
        </w:rPr>
        <w:t>4.【企业信息管理】点击左侧菜单“基本信息”子菜单“企业基本信息管理”进入模块，点击页面下方编辑按钮；</w:t>
      </w:r>
    </w:p>
    <w:p>
      <w:r>
        <w:rPr>
          <w:rFonts w:hint="eastAsia"/>
        </w:rPr>
        <w:t>5.【填入各必填字段】在编辑页面填入各必填字段即可保存。其中需重点注意以下几个字段：</w:t>
      </w:r>
    </w:p>
    <w:p>
      <w:r>
        <w:rPr>
          <w:rFonts w:hint="eastAsia"/>
        </w:rPr>
        <w:t>“评分单位类型”：点击“评分单位类型”右侧下拉框，选择评分单位类型，诚信评分最终分数将关联此处所选企业类型；</w:t>
      </w:r>
    </w:p>
    <w:p>
      <w:r>
        <w:rPr>
          <w:rFonts w:hint="eastAsia"/>
        </w:rPr>
        <w:t>“联系人姓名”、“联系人电话”、“联系人身份证号码”：需点击联系人姓名右侧“选择”按钮打开选择联系人弹窗，弹窗列表为该企业于人员管理中登记的人员，需从中选择已经在云南建管小程序实名认证的人员作为联系人。</w:t>
      </w:r>
    </w:p>
    <w:p>
      <w:r>
        <w:rPr>
          <w:rFonts w:hint="eastAsia"/>
        </w:rPr>
        <w:t>6.【点击提交按钮】点击“企业基本信息管理”页面下方“提交”功能按钮，在弹窗中点击确定按钮；</w:t>
      </w:r>
    </w:p>
    <w:p>
      <w:r>
        <w:rPr>
          <w:rFonts w:hint="eastAsia"/>
        </w:rPr>
        <w:t>7.【完成提交】已完成企业基本信息提交流程，“提交”按钮变为“已提交”不可点击。</w:t>
      </w:r>
    </w:p>
    <w:p>
      <w:pPr>
        <w:pStyle w:val="4"/>
      </w:pPr>
      <w:bookmarkStart w:id="8" w:name="_Toc19623"/>
      <w:r>
        <w:rPr>
          <w:rFonts w:hint="eastAsia"/>
        </w:rPr>
        <w:t>2.2.3编辑企业基本信息</w:t>
      </w:r>
      <w:bookmarkEnd w:id="8"/>
    </w:p>
    <w:p>
      <w:r>
        <w:rPr>
          <w:rFonts w:hint="eastAsia"/>
        </w:rPr>
        <w:t>点击页面下方编辑按钮打开编辑页面。</w:t>
      </w:r>
    </w:p>
    <w:p>
      <w:r>
        <w:drawing>
          <wp:inline distT="0" distB="0" distL="114300" distR="114300">
            <wp:extent cx="5266690" cy="2570480"/>
            <wp:effectExtent l="0" t="0" r="10160" b="1270"/>
            <wp:docPr id="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true"/>
                    </pic:cNvPicPr>
                  </pic:nvPicPr>
                  <pic:blipFill>
                    <a:blip r:embed="rId12"/>
                    <a:stretch>
                      <a:fillRect/>
                    </a:stretch>
                  </pic:blipFill>
                  <pic:spPr>
                    <a:xfrm>
                      <a:off x="0" y="0"/>
                      <a:ext cx="5266690" cy="2570480"/>
                    </a:xfrm>
                    <a:prstGeom prst="rect">
                      <a:avLst/>
                    </a:prstGeom>
                    <a:noFill/>
                    <a:ln>
                      <a:noFill/>
                    </a:ln>
                  </pic:spPr>
                </pic:pic>
              </a:graphicData>
            </a:graphic>
          </wp:inline>
        </w:drawing>
      </w:r>
    </w:p>
    <w:p/>
    <w:p>
      <w:r>
        <w:rPr>
          <w:rFonts w:hint="eastAsia"/>
        </w:rPr>
        <w:t>点击下拉框选择评分单位类型。</w:t>
      </w:r>
    </w:p>
    <w:p>
      <w:r>
        <w:drawing>
          <wp:inline distT="0" distB="0" distL="114300" distR="114300">
            <wp:extent cx="5266690" cy="2570480"/>
            <wp:effectExtent l="0" t="0" r="10160" b="1270"/>
            <wp:docPr id="1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true"/>
                    </pic:cNvPicPr>
                  </pic:nvPicPr>
                  <pic:blipFill>
                    <a:blip r:embed="rId13"/>
                    <a:stretch>
                      <a:fillRect/>
                    </a:stretch>
                  </pic:blipFill>
                  <pic:spPr>
                    <a:xfrm>
                      <a:off x="0" y="0"/>
                      <a:ext cx="5266690" cy="2570480"/>
                    </a:xfrm>
                    <a:prstGeom prst="rect">
                      <a:avLst/>
                    </a:prstGeom>
                    <a:noFill/>
                    <a:ln>
                      <a:noFill/>
                    </a:ln>
                  </pic:spPr>
                </pic:pic>
              </a:graphicData>
            </a:graphic>
          </wp:inline>
        </w:drawing>
      </w:r>
    </w:p>
    <w:p/>
    <w:p>
      <w:r>
        <w:rPr>
          <w:rFonts w:hint="eastAsia"/>
        </w:rPr>
        <w:t>点击保存按钮保存企业基本信息</w:t>
      </w:r>
    </w:p>
    <w:p>
      <w:r>
        <w:drawing>
          <wp:inline distT="0" distB="0" distL="114300" distR="114300">
            <wp:extent cx="5266690" cy="2570480"/>
            <wp:effectExtent l="0" t="0" r="10160" b="1270"/>
            <wp:docPr id="1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true"/>
                    </pic:cNvPicPr>
                  </pic:nvPicPr>
                  <pic:blipFill>
                    <a:blip r:embed="rId14"/>
                    <a:stretch>
                      <a:fillRect/>
                    </a:stretch>
                  </pic:blipFill>
                  <pic:spPr>
                    <a:xfrm>
                      <a:off x="0" y="0"/>
                      <a:ext cx="5266690" cy="2570480"/>
                    </a:xfrm>
                    <a:prstGeom prst="rect">
                      <a:avLst/>
                    </a:prstGeom>
                    <a:noFill/>
                    <a:ln>
                      <a:noFill/>
                    </a:ln>
                  </pic:spPr>
                </pic:pic>
              </a:graphicData>
            </a:graphic>
          </wp:inline>
        </w:drawing>
      </w:r>
    </w:p>
    <w:p/>
    <w:p>
      <w:pPr>
        <w:pStyle w:val="4"/>
      </w:pPr>
      <w:bookmarkStart w:id="9" w:name="_Toc20476"/>
      <w:r>
        <w:rPr>
          <w:rFonts w:hint="eastAsia"/>
        </w:rPr>
        <w:t>2.2.3提交企业基本信息</w:t>
      </w:r>
      <w:bookmarkEnd w:id="9"/>
    </w:p>
    <w:p>
      <w:r>
        <w:rPr>
          <w:rFonts w:hint="eastAsia"/>
        </w:rPr>
        <w:t>点击“提交”按钮，弹出确认弹窗。</w:t>
      </w:r>
    </w:p>
    <w:p>
      <w:r>
        <w:drawing>
          <wp:inline distT="0" distB="0" distL="114300" distR="114300">
            <wp:extent cx="5266690" cy="2570480"/>
            <wp:effectExtent l="0" t="0" r="10160" b="1270"/>
            <wp:docPr id="1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true"/>
                    </pic:cNvPicPr>
                  </pic:nvPicPr>
                  <pic:blipFill>
                    <a:blip r:embed="rId15"/>
                    <a:stretch>
                      <a:fillRect/>
                    </a:stretch>
                  </pic:blipFill>
                  <pic:spPr>
                    <a:xfrm>
                      <a:off x="0" y="0"/>
                      <a:ext cx="5266690" cy="2570480"/>
                    </a:xfrm>
                    <a:prstGeom prst="rect">
                      <a:avLst/>
                    </a:prstGeom>
                    <a:noFill/>
                    <a:ln>
                      <a:noFill/>
                    </a:ln>
                  </pic:spPr>
                </pic:pic>
              </a:graphicData>
            </a:graphic>
          </wp:inline>
        </w:drawing>
      </w:r>
    </w:p>
    <w:p/>
    <w:p>
      <w:r>
        <w:rPr>
          <w:rFonts w:hint="eastAsia"/>
        </w:rPr>
        <w:t>点击确认按钮确认提交操作（提交后无法编辑企业基本信息中的评分单位类型字段）。</w:t>
      </w:r>
    </w:p>
    <w:p>
      <w:r>
        <w:drawing>
          <wp:inline distT="0" distB="0" distL="114300" distR="114300">
            <wp:extent cx="5266690" cy="2570480"/>
            <wp:effectExtent l="0" t="0" r="10160" b="1270"/>
            <wp:docPr id="1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true"/>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rPr>
          <w:rFonts w:eastAsia="黑体"/>
        </w:rPr>
      </w:pPr>
      <w:r>
        <w:drawing>
          <wp:inline distT="0" distB="0" distL="114300" distR="114300">
            <wp:extent cx="5266690" cy="2570480"/>
            <wp:effectExtent l="0" t="0" r="10160" b="1270"/>
            <wp:docPr id="1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true"/>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3"/>
      </w:pPr>
      <w:bookmarkStart w:id="10" w:name="_Toc13036"/>
      <w:r>
        <w:rPr>
          <w:rFonts w:hint="eastAsia"/>
        </w:rPr>
        <w:t>2.3企业产值营收填报</w:t>
      </w:r>
      <w:bookmarkEnd w:id="10"/>
    </w:p>
    <w:p>
      <w:r>
        <w:rPr>
          <w:rFonts w:hint="eastAsia"/>
        </w:rPr>
        <w:t>“企业产值营收填报”说明了企业填报本企业各企业类型产值营收模块的路径和流程。企业添加且上报的产值营收季报将用于诚信评分，需要注意：若有其他模块如良好信息、不良信息、实施行为添加过的企业类型的记录，产值营收模块也需要填报上一年度各季度季报；</w:t>
      </w:r>
    </w:p>
    <w:p>
      <w:pPr>
        <w:pStyle w:val="4"/>
      </w:pPr>
      <w:bookmarkStart w:id="11" w:name="_Toc5969"/>
      <w:bookmarkStart w:id="12" w:name="_Toc22210"/>
      <w:r>
        <w:rPr>
          <w:rFonts w:hint="eastAsia"/>
        </w:rPr>
        <w:t>2.3.1施工企业产值填报</w:t>
      </w:r>
      <w:bookmarkEnd w:id="11"/>
      <w:bookmarkEnd w:id="12"/>
    </w:p>
    <w:p>
      <w:pPr>
        <w:pStyle w:val="5"/>
      </w:pPr>
      <w:r>
        <w:rPr>
          <w:rFonts w:hint="eastAsia"/>
        </w:rPr>
        <w:t>2.3.1.1施工企业产值月报</w:t>
      </w:r>
    </w:p>
    <w:p>
      <w:r>
        <w:rPr>
          <w:rFonts w:hint="eastAsia"/>
        </w:rPr>
        <w:t>点击左侧菜单“诚信管理-企业产值营收填报-施工企业产值填报-施工总承包企业产值月报/施工专业承包产值月报”进入该模块。</w:t>
      </w:r>
    </w:p>
    <w:p>
      <w:r>
        <w:drawing>
          <wp:inline distT="0" distB="0" distL="114300" distR="114300">
            <wp:extent cx="5266690" cy="2570480"/>
            <wp:effectExtent l="0" t="0" r="10160" b="1270"/>
            <wp:docPr id="1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true"/>
                    </pic:cNvPicPr>
                  </pic:nvPicPr>
                  <pic:blipFill>
                    <a:blip r:embed="rId18"/>
                    <a:stretch>
                      <a:fillRect/>
                    </a:stretch>
                  </pic:blipFill>
                  <pic:spPr>
                    <a:xfrm>
                      <a:off x="0" y="0"/>
                      <a:ext cx="5266690" cy="2570480"/>
                    </a:xfrm>
                    <a:prstGeom prst="rect">
                      <a:avLst/>
                    </a:prstGeom>
                    <a:noFill/>
                    <a:ln>
                      <a:noFill/>
                    </a:ln>
                  </pic:spPr>
                </pic:pic>
              </a:graphicData>
            </a:graphic>
          </wp:inline>
        </w:drawing>
      </w:r>
    </w:p>
    <w:p/>
    <w:p>
      <w:pPr>
        <w:rPr>
          <w:rFonts w:ascii="宋体" w:hAnsi="宋体" w:eastAsia="宋体" w:cs="宋体"/>
          <w:sz w:val="24"/>
        </w:rPr>
      </w:pPr>
      <w:r>
        <w:rPr>
          <w:rFonts w:ascii="宋体" w:hAnsi="宋体" w:eastAsia="宋体" w:cs="宋体"/>
          <w:sz w:val="24"/>
        </w:rPr>
        <w:t>列表可执行的操作：</w:t>
      </w:r>
    </w:p>
    <w:p>
      <w:r>
        <w:rPr>
          <w:rFonts w:hint="eastAsia"/>
        </w:rPr>
        <w:t>◼ 刷新：刷新产值月报列表内容</w:t>
      </w:r>
    </w:p>
    <w:p>
      <w:r>
        <w:rPr>
          <w:rFonts w:hint="eastAsia"/>
        </w:rPr>
        <w:t>◼ 添加：打开添加页面，新增记录</w:t>
      </w:r>
    </w:p>
    <w:p>
      <w:r>
        <w:rPr>
          <w:rFonts w:hint="eastAsia"/>
        </w:rPr>
        <w:t>◼ 编辑：打开编辑页面，编辑记录</w:t>
      </w:r>
    </w:p>
    <w:p>
      <w:r>
        <w:rPr>
          <w:rFonts w:hint="eastAsia"/>
        </w:rPr>
        <w:t>◼ 删除：删除记录</w:t>
      </w:r>
    </w:p>
    <w:p>
      <w:r>
        <w:rPr>
          <w:rFonts w:hint="eastAsia"/>
        </w:rPr>
        <w:t>◼ 详细：打开详细页面，查看记录详情</w:t>
      </w:r>
    </w:p>
    <w:p>
      <w:pPr>
        <w:pStyle w:val="6"/>
      </w:pPr>
      <w:r>
        <w:rPr>
          <w:rFonts w:hint="eastAsia"/>
        </w:rPr>
        <w:t>2.3.1.1.1添加/编辑操作说明</w:t>
      </w:r>
    </w:p>
    <w:p>
      <w:pPr>
        <w:jc w:val="left"/>
      </w:pPr>
      <w:r>
        <w:rPr>
          <w:rFonts w:hint="eastAsia"/>
        </w:rPr>
        <w:t>点击表格右上角“添加”按钮，打开添加页面。</w:t>
      </w:r>
    </w:p>
    <w:p>
      <w:r>
        <w:drawing>
          <wp:inline distT="0" distB="0" distL="114300" distR="114300">
            <wp:extent cx="5266690" cy="2570480"/>
            <wp:effectExtent l="0" t="0" r="10160" b="1270"/>
            <wp:docPr id="1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true"/>
                    </pic:cNvPicPr>
                  </pic:nvPicPr>
                  <pic:blipFill>
                    <a:blip r:embed="rId19"/>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（列表页面）</w:t>
      </w:r>
    </w:p>
    <w:p>
      <w:pPr>
        <w:jc w:val="left"/>
      </w:pPr>
    </w:p>
    <w:p>
      <w:pPr>
        <w:jc w:val="left"/>
      </w:pPr>
      <w:r>
        <w:drawing>
          <wp:inline distT="0" distB="0" distL="114300" distR="114300">
            <wp:extent cx="5266690" cy="2570480"/>
            <wp:effectExtent l="0" t="0" r="10160" b="1270"/>
            <wp:docPr id="17"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true"/>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（添加页面）</w:t>
      </w:r>
    </w:p>
    <w:p>
      <w:r>
        <w:rPr>
          <w:rFonts w:hint="eastAsia"/>
          <w:lang w:val="zh-CN"/>
        </w:rPr>
        <w:t>【</w:t>
      </w:r>
      <w:r>
        <w:rPr>
          <w:rFonts w:hint="eastAsia"/>
        </w:rPr>
        <w:t>月报所属月度</w:t>
      </w:r>
      <w:r>
        <w:rPr>
          <w:rFonts w:hint="eastAsia"/>
          <w:lang w:val="zh-CN"/>
        </w:rPr>
        <w:t>】：</w:t>
      </w:r>
      <w:r>
        <w:rPr>
          <w:rFonts w:hint="eastAsia"/>
        </w:rPr>
        <w:t>默认选择当前时间月度，点击日期框可选择所填报月度</w:t>
      </w:r>
    </w:p>
    <w:p>
      <w:r>
        <w:rPr>
          <w:rFonts w:hint="eastAsia"/>
        </w:rPr>
        <w:t>【年初至本月预计累计完成总产值（万元）】：此处单位为万元，可输入企业本年度年初至本月预计累计完成总产值</w:t>
      </w:r>
    </w:p>
    <w:p>
      <w:r>
        <w:rPr>
          <w:rFonts w:hint="eastAsia"/>
        </w:rPr>
        <w:t>【填报人】：填写填报人姓名</w:t>
      </w:r>
    </w:p>
    <w:p>
      <w:r>
        <w:rPr>
          <w:rFonts w:hint="eastAsia"/>
        </w:rPr>
        <w:t>【填报人联系电话】：填写填报人联系电话</w:t>
      </w:r>
    </w:p>
    <w:p/>
    <w:p>
      <w:r>
        <w:drawing>
          <wp:inline distT="0" distB="0" distL="114300" distR="114300">
            <wp:extent cx="5266690" cy="2570480"/>
            <wp:effectExtent l="0" t="0" r="10160" b="1270"/>
            <wp:docPr id="18"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true"/>
                    </pic:cNvPicPr>
                  </pic:nvPicPr>
                  <pic:blipFill>
                    <a:blip r:embed="rId21"/>
                    <a:stretch>
                      <a:fillRect/>
                    </a:stretch>
                  </pic:blipFill>
                  <pic:spPr>
                    <a:xfrm>
                      <a:off x="0" y="0"/>
                      <a:ext cx="5266690" cy="2570480"/>
                    </a:xfrm>
                    <a:prstGeom prst="rect">
                      <a:avLst/>
                    </a:prstGeom>
                    <a:noFill/>
                    <a:ln>
                      <a:noFill/>
                    </a:ln>
                  </pic:spPr>
                </pic:pic>
              </a:graphicData>
            </a:graphic>
          </wp:inline>
        </w:drawing>
      </w:r>
    </w:p>
    <w:p/>
    <w:p>
      <w:r>
        <w:rPr>
          <w:rFonts w:hint="eastAsia"/>
        </w:rPr>
        <w:t>保存：填完所有必填项点击保存后，保存已填信息，关闭页面。</w:t>
      </w:r>
    </w:p>
    <w:p>
      <w:r>
        <w:rPr>
          <w:rFonts w:hint="eastAsia"/>
        </w:rPr>
        <w:t>关闭：点击关闭，则不保存已填信息，关闭页面。</w:t>
      </w:r>
    </w:p>
    <w:p>
      <w:pPr>
        <w:pStyle w:val="5"/>
      </w:pPr>
      <w:r>
        <w:rPr>
          <w:rFonts w:hint="eastAsia"/>
        </w:rPr>
        <w:t>2.3.1.2施工企业产值季报</w:t>
      </w:r>
    </w:p>
    <w:p>
      <w:r>
        <w:rPr>
          <w:rFonts w:hint="eastAsia"/>
        </w:rPr>
        <w:t>点击左侧菜单“诚信管理-企业产值营收填报-施工企业产值填报-施工企业产值季报”进入该模块</w:t>
      </w:r>
    </w:p>
    <w:p>
      <w:r>
        <w:drawing>
          <wp:inline distT="0" distB="0" distL="114300" distR="114300">
            <wp:extent cx="5266690" cy="2570480"/>
            <wp:effectExtent l="0" t="0" r="10160" b="1270"/>
            <wp:docPr id="19"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true"/>
                    </pic:cNvPicPr>
                  </pic:nvPicPr>
                  <pic:blipFill>
                    <a:blip r:embed="rId22"/>
                    <a:stretch>
                      <a:fillRect/>
                    </a:stretch>
                  </pic:blipFill>
                  <pic:spPr>
                    <a:xfrm>
                      <a:off x="0" y="0"/>
                      <a:ext cx="5266690" cy="2570480"/>
                    </a:xfrm>
                    <a:prstGeom prst="rect">
                      <a:avLst/>
                    </a:prstGeom>
                    <a:noFill/>
                    <a:ln>
                      <a:noFill/>
                    </a:ln>
                  </pic:spPr>
                </pic:pic>
              </a:graphicData>
            </a:graphic>
          </wp:inline>
        </w:drawing>
      </w:r>
    </w:p>
    <w:p/>
    <w:p>
      <w:pPr>
        <w:rPr>
          <w:rFonts w:ascii="宋体" w:hAnsi="宋体" w:eastAsia="宋体" w:cs="宋体"/>
          <w:sz w:val="24"/>
        </w:rPr>
      </w:pPr>
      <w:r>
        <w:rPr>
          <w:rFonts w:ascii="宋体" w:hAnsi="宋体" w:eastAsia="宋体" w:cs="宋体"/>
          <w:sz w:val="24"/>
        </w:rPr>
        <w:t>列表可执行的操作：</w:t>
      </w:r>
    </w:p>
    <w:p>
      <w:r>
        <w:rPr>
          <w:rFonts w:hint="eastAsia"/>
        </w:rPr>
        <w:t>◼ 刷新：刷新产值月报列表内容</w:t>
      </w:r>
    </w:p>
    <w:p>
      <w:r>
        <w:rPr>
          <w:rFonts w:hint="eastAsia"/>
        </w:rPr>
        <w:t>◼ 添加：打开添加页面，新增记录</w:t>
      </w:r>
    </w:p>
    <w:p>
      <w:r>
        <w:rPr>
          <w:rFonts w:hint="eastAsia"/>
        </w:rPr>
        <w:t>◼ 编辑：打开编辑页面，编辑记录</w:t>
      </w:r>
    </w:p>
    <w:p>
      <w:r>
        <w:rPr>
          <w:rFonts w:hint="eastAsia"/>
        </w:rPr>
        <w:t>◼ 删除：删除记录</w:t>
      </w:r>
    </w:p>
    <w:p>
      <w:r>
        <w:rPr>
          <w:rFonts w:hint="eastAsia"/>
        </w:rPr>
        <w:t>◼ 上报：上报记录</w:t>
      </w:r>
    </w:p>
    <w:p>
      <w:r>
        <w:rPr>
          <w:rFonts w:hint="eastAsia"/>
        </w:rPr>
        <w:t>◼ 详细：打开详细页面，查看记录详情</w:t>
      </w:r>
    </w:p>
    <w:p/>
    <w:p>
      <w:pPr>
        <w:pStyle w:val="6"/>
      </w:pPr>
      <w:r>
        <w:rPr>
          <w:rFonts w:hint="eastAsia"/>
        </w:rPr>
        <w:t>2.3.1.2.1添加/编辑操作说明</w:t>
      </w:r>
    </w:p>
    <w:p>
      <w:pPr>
        <w:jc w:val="left"/>
      </w:pPr>
      <w:r>
        <w:rPr>
          <w:rFonts w:hint="eastAsia"/>
        </w:rPr>
        <w:t>点击表格右上角“添加”按钮，打开添加页面。</w:t>
      </w:r>
    </w:p>
    <w:p>
      <w:r>
        <w:drawing>
          <wp:inline distT="0" distB="0" distL="114300" distR="114300">
            <wp:extent cx="5266690" cy="2570480"/>
            <wp:effectExtent l="0" t="0" r="10160" b="1270"/>
            <wp:docPr id="20"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true"/>
                    </pic:cNvPicPr>
                  </pic:nvPicPr>
                  <pic:blipFill>
                    <a:blip r:embed="rId23"/>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（列表页面）</w:t>
      </w:r>
    </w:p>
    <w:p>
      <w:pPr>
        <w:jc w:val="left"/>
      </w:pPr>
      <w:r>
        <w:drawing>
          <wp:inline distT="0" distB="0" distL="114300" distR="114300">
            <wp:extent cx="5266690" cy="2570480"/>
            <wp:effectExtent l="0" t="0" r="10160" b="1270"/>
            <wp:docPr id="21"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true"/>
                    </pic:cNvPicPr>
                  </pic:nvPicPr>
                  <pic:blipFill>
                    <a:blip r:embed="rId24"/>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（添加页面）</w:t>
      </w:r>
    </w:p>
    <w:p>
      <w:r>
        <w:drawing>
          <wp:inline distT="0" distB="0" distL="114300" distR="114300">
            <wp:extent cx="5266690" cy="2570480"/>
            <wp:effectExtent l="0" t="0" r="10160" b="1270"/>
            <wp:docPr id="22"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true"/>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（附件页面）</w:t>
      </w:r>
    </w:p>
    <w:p>
      <w:pPr>
        <w:rPr>
          <w:b/>
          <w:bCs/>
          <w:szCs w:val="21"/>
        </w:rPr>
      </w:pPr>
      <w:r>
        <w:rPr>
          <w:rFonts w:hint="eastAsia"/>
          <w:b/>
          <w:bCs/>
          <w:szCs w:val="21"/>
        </w:rPr>
        <w:t>字段说明：</w:t>
      </w:r>
    </w:p>
    <w:p>
      <w:pPr>
        <w:rPr>
          <w:szCs w:val="21"/>
        </w:rPr>
      </w:pPr>
      <w:r>
        <w:rPr>
          <w:rFonts w:hint="eastAsia"/>
          <w:szCs w:val="21"/>
          <w:lang w:val="zh-CN"/>
        </w:rPr>
        <w:t>【</w:t>
      </w:r>
      <w:r>
        <w:rPr>
          <w:rFonts w:hint="eastAsia"/>
          <w:szCs w:val="21"/>
        </w:rPr>
        <w:t>季报所属季度</w:t>
      </w:r>
      <w:r>
        <w:rPr>
          <w:rFonts w:hint="eastAsia"/>
          <w:szCs w:val="21"/>
          <w:lang w:val="zh-CN"/>
        </w:rPr>
        <w:t>】：</w:t>
      </w:r>
      <w:r>
        <w:rPr>
          <w:rFonts w:hint="eastAsia"/>
          <w:szCs w:val="21"/>
        </w:rPr>
        <w:t>默认年度选择当前时间年度，季度点击下拉可选择季度</w:t>
      </w:r>
    </w:p>
    <w:p>
      <w:pPr>
        <w:rPr>
          <w:rFonts w:ascii="宋体" w:hAnsi="宋体" w:eastAsia="宋体" w:cs="宋体"/>
          <w:szCs w:val="21"/>
        </w:rPr>
      </w:pPr>
      <w:r>
        <w:rPr>
          <w:rFonts w:hint="eastAsia"/>
          <w:szCs w:val="21"/>
        </w:rPr>
        <w:t>【</w:t>
      </w:r>
      <w:r>
        <w:rPr>
          <w:rFonts w:ascii="宋体" w:hAnsi="宋体" w:eastAsia="宋体" w:cs="宋体"/>
          <w:szCs w:val="21"/>
        </w:rPr>
        <w:t>年初至本季度累计完成产值(万元)</w:t>
      </w:r>
      <w:r>
        <w:rPr>
          <w:rFonts w:hint="eastAsia"/>
          <w:szCs w:val="21"/>
        </w:rPr>
        <w:t>】：此处单位为万元，可输入</w:t>
      </w:r>
      <w:r>
        <w:rPr>
          <w:rFonts w:ascii="宋体" w:hAnsi="宋体" w:eastAsia="宋体" w:cs="宋体"/>
          <w:szCs w:val="21"/>
        </w:rPr>
        <w:t>年初至本季度累计完成产值</w:t>
      </w:r>
    </w:p>
    <w:p>
      <w:pP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省内年初至本季度累计完成产值(万元)</w:t>
      </w:r>
      <w:r>
        <w:rPr>
          <w:rFonts w:hint="eastAsia" w:ascii="宋体" w:hAnsi="宋体" w:eastAsia="宋体" w:cs="宋体"/>
          <w:szCs w:val="21"/>
        </w:rPr>
        <w:t>】：</w:t>
      </w:r>
      <w:r>
        <w:rPr>
          <w:rFonts w:hint="eastAsia"/>
          <w:szCs w:val="21"/>
        </w:rPr>
        <w:t>此处单位为万元，可输入</w:t>
      </w:r>
      <w:r>
        <w:rPr>
          <w:rFonts w:ascii="宋体" w:hAnsi="宋体" w:eastAsia="宋体" w:cs="宋体"/>
          <w:szCs w:val="21"/>
        </w:rPr>
        <w:t>省内年初至本季度累计完成产值</w:t>
      </w:r>
    </w:p>
    <w:p>
      <w:pPr>
        <w:rPr>
          <w:rFonts w:ascii="宋体" w:hAnsi="宋体" w:eastAsia="宋体" w:cs="宋体"/>
          <w:szCs w:val="21"/>
        </w:rPr>
      </w:pPr>
      <w:r>
        <w:rPr>
          <w:rFonts w:hint="eastAsia" w:ascii="宋体" w:hAnsi="宋体" w:eastAsia="宋体" w:cs="宋体"/>
          <w:szCs w:val="21"/>
        </w:rPr>
        <w:t>【</w:t>
      </w:r>
      <w:r>
        <w:rPr>
          <w:rFonts w:ascii="Helvetica" w:hAnsi="Helvetica" w:eastAsia="Helvetica" w:cs="Helvetica"/>
          <w:color w:val="000000"/>
          <w:szCs w:val="21"/>
          <w:shd w:val="clear" w:color="auto" w:fill="FFFFFF"/>
        </w:rPr>
        <w:t>省外年初至本季度累计完成产值</w:t>
      </w:r>
      <w:r>
        <w:rPr>
          <w:rFonts w:hint="eastAsia" w:ascii="宋体" w:hAnsi="宋体" w:eastAsia="宋体" w:cs="宋体"/>
          <w:szCs w:val="21"/>
        </w:rPr>
        <w:t>】：此处货币单位可于下拉选择币种，若项目产值非下拉币种的或涉及多个币种的统一按当日汇率换算为人民币（万元）填报（仅限在滇企业可填报）</w:t>
      </w:r>
    </w:p>
    <w:p>
      <w:pPr>
        <w:rPr>
          <w:szCs w:val="21"/>
        </w:rPr>
      </w:pPr>
      <w:r>
        <w:rPr>
          <w:rFonts w:hint="eastAsia"/>
          <w:szCs w:val="21"/>
        </w:rPr>
        <w:t>【填报人】：填写填报人姓名</w:t>
      </w:r>
    </w:p>
    <w:p>
      <w:pPr>
        <w:rPr>
          <w:szCs w:val="21"/>
        </w:rPr>
      </w:pPr>
      <w:r>
        <w:rPr>
          <w:rFonts w:hint="eastAsia"/>
          <w:szCs w:val="21"/>
        </w:rPr>
        <w:t>【填报人联系电话】：填写填报人联系电话</w:t>
      </w:r>
    </w:p>
    <w:p>
      <w:r>
        <w:rPr>
          <w:rFonts w:hint="eastAsia"/>
        </w:rPr>
        <w:t>【企业所报产值支撑材料】：以pdf格式上传一种及以上支撑材料（上报统计部门产值表、完成产值的相关税票、完成产值的拨款证明、监理单位认可的工程量清单）</w:t>
      </w:r>
    </w:p>
    <w:p>
      <w:r>
        <w:rPr>
          <w:rFonts w:hint="eastAsia"/>
        </w:rPr>
        <w:t>【其他】：可上传其他产值支撑材料</w:t>
      </w:r>
    </w:p>
    <w:p>
      <w:pPr>
        <w:rPr>
          <w:szCs w:val="21"/>
        </w:rPr>
      </w:pPr>
    </w:p>
    <w:p>
      <w:pPr>
        <w:rPr>
          <w:b/>
          <w:bCs/>
          <w:szCs w:val="21"/>
        </w:rPr>
      </w:pPr>
      <w:r>
        <w:rPr>
          <w:rFonts w:hint="eastAsia"/>
          <w:b/>
          <w:bCs/>
          <w:szCs w:val="21"/>
        </w:rPr>
        <w:t>按钮说明：</w:t>
      </w:r>
    </w:p>
    <w:p>
      <w:r>
        <w:rPr>
          <w:rFonts w:hint="eastAsia"/>
          <w:szCs w:val="21"/>
        </w:rPr>
        <w:t>【保存】：</w:t>
      </w:r>
      <w:r>
        <w:rPr>
          <w:rFonts w:hint="eastAsia"/>
        </w:rPr>
        <w:t>填完所有必填项点击保存后，保存已填信息，关闭页面；</w:t>
      </w:r>
    </w:p>
    <w:p>
      <w:r>
        <w:rPr>
          <w:rFonts w:hint="eastAsia"/>
        </w:rPr>
        <w:t>【保存并上报】：填完所有必填项点击保存并上报后，保存已填信息，弹窗确认是否上报，点击确认则上报并关闭页面，点击取消则回到添加/编辑页面；</w:t>
      </w:r>
    </w:p>
    <w:p>
      <w:r>
        <w:rPr>
          <w:rFonts w:hint="eastAsia"/>
        </w:rPr>
        <w:t>【关闭】：点击关闭，则不保存已填信息，关闭页面；</w:t>
      </w:r>
    </w:p>
    <w:p>
      <w:pPr>
        <w:pStyle w:val="6"/>
      </w:pPr>
      <w:r>
        <w:rPr>
          <w:rFonts w:hint="eastAsia"/>
        </w:rPr>
        <w:t>2.3.1.2.2上报操作说明</w:t>
      </w:r>
    </w:p>
    <w:p>
      <w:r>
        <w:rPr>
          <w:rFonts w:hint="eastAsia"/>
        </w:rPr>
        <w:t>点击表格右上角“上报”按钮，可将状态为编辑的记录上报锁定，上报后将用于诚信评分不可编辑及删除。</w:t>
      </w:r>
    </w:p>
    <w:p>
      <w:r>
        <w:drawing>
          <wp:inline distT="0" distB="0" distL="114300" distR="114300">
            <wp:extent cx="5266690" cy="2570480"/>
            <wp:effectExtent l="0" t="0" r="10160" b="1270"/>
            <wp:docPr id="2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true"/>
                    </pic:cNvPicPr>
                  </pic:nvPicPr>
                  <pic:blipFill>
                    <a:blip r:embed="rId26"/>
                    <a:stretch>
                      <a:fillRect/>
                    </a:stretch>
                  </pic:blipFill>
                  <pic:spPr>
                    <a:xfrm>
                      <a:off x="0" y="0"/>
                      <a:ext cx="5266690" cy="2570480"/>
                    </a:xfrm>
                    <a:prstGeom prst="rect">
                      <a:avLst/>
                    </a:prstGeom>
                    <a:noFill/>
                    <a:ln>
                      <a:noFill/>
                    </a:ln>
                  </pic:spPr>
                </pic:pic>
              </a:graphicData>
            </a:graphic>
          </wp:inline>
        </w:drawing>
      </w:r>
    </w:p>
    <w:p>
      <w:r>
        <w:drawing>
          <wp:inline distT="0" distB="0" distL="114300" distR="114300">
            <wp:extent cx="5266690" cy="2570480"/>
            <wp:effectExtent l="0" t="0" r="10160" b="1270"/>
            <wp:docPr id="24"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true"/>
                    </pic:cNvPicPr>
                  </pic:nvPicPr>
                  <pic:blipFill>
                    <a:blip r:embed="rId27"/>
                    <a:stretch>
                      <a:fillRect/>
                    </a:stretch>
                  </pic:blipFill>
                  <pic:spPr>
                    <a:xfrm>
                      <a:off x="0" y="0"/>
                      <a:ext cx="5266690" cy="2570480"/>
                    </a:xfrm>
                    <a:prstGeom prst="rect">
                      <a:avLst/>
                    </a:prstGeom>
                    <a:noFill/>
                    <a:ln>
                      <a:noFill/>
                    </a:ln>
                  </pic:spPr>
                </pic:pic>
              </a:graphicData>
            </a:graphic>
          </wp:inline>
        </w:drawing>
      </w:r>
    </w:p>
    <w:p>
      <w:r>
        <w:rPr>
          <w:rFonts w:hint="eastAsia"/>
        </w:rPr>
        <w:t>按钮说明：</w:t>
      </w:r>
    </w:p>
    <w:p>
      <w:r>
        <w:rPr>
          <w:rFonts w:hint="eastAsia"/>
        </w:rPr>
        <w:t>【确定】：点击确定按钮则确认上报操作，该记录状态变更为“已上报”；</w:t>
      </w:r>
    </w:p>
    <w:p>
      <w:r>
        <w:rPr>
          <w:rFonts w:hint="eastAsia"/>
        </w:rPr>
        <w:t>【取消】：点击取消按钮则取消上报操作；</w:t>
      </w:r>
    </w:p>
    <w:p>
      <w:pPr>
        <w:pStyle w:val="4"/>
      </w:pPr>
      <w:bookmarkStart w:id="13" w:name="_Toc2814"/>
      <w:bookmarkStart w:id="14" w:name="_Toc28435"/>
      <w:r>
        <w:rPr>
          <w:rFonts w:hint="eastAsia"/>
        </w:rPr>
        <w:t>2.3.2服务企业营收填报</w:t>
      </w:r>
      <w:bookmarkEnd w:id="13"/>
      <w:bookmarkEnd w:id="14"/>
    </w:p>
    <w:p>
      <w:pPr>
        <w:ind w:firstLine="420" w:firstLineChars="200"/>
      </w:pPr>
      <w:r>
        <w:rPr>
          <w:rFonts w:hint="eastAsia"/>
        </w:rPr>
        <w:t>服务企业只需填报营收季报，服务企业类型包括监理、检测、招标代理、造价、勘察、设计这几类企业类型。各企业类型填报进入的模块不同，添加页面字段相同，上报流程相同。</w:t>
      </w:r>
    </w:p>
    <w:p>
      <w:pPr>
        <w:pStyle w:val="5"/>
      </w:pPr>
      <w:r>
        <w:rPr>
          <w:rFonts w:hint="eastAsia"/>
        </w:rPr>
        <w:t>2.3.2.1服务企业营收季报填报入口</w:t>
      </w:r>
    </w:p>
    <w:p>
      <w:r>
        <w:rPr>
          <w:rFonts w:hint="eastAsia"/>
        </w:rPr>
        <w:t>点击左侧菜单“诚信管理-企业产值营收填报-服务企业营收填报”进入该模块后，根据所要填报季报的企业类型根据入口进入填报。</w:t>
      </w:r>
    </w:p>
    <w:p>
      <w:r>
        <w:drawing>
          <wp:inline distT="0" distB="0" distL="114300" distR="114300">
            <wp:extent cx="5259070" cy="2557780"/>
            <wp:effectExtent l="0" t="0" r="17780" b="13970"/>
            <wp:docPr id="25"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true"/>
                    </pic:cNvPicPr>
                  </pic:nvPicPr>
                  <pic:blipFill>
                    <a:blip r:embed="rId28"/>
                    <a:stretch>
                      <a:fillRect/>
                    </a:stretch>
                  </pic:blipFill>
                  <pic:spPr>
                    <a:xfrm>
                      <a:off x="0" y="0"/>
                      <a:ext cx="5259070" cy="2557780"/>
                    </a:xfrm>
                    <a:prstGeom prst="rect">
                      <a:avLst/>
                    </a:prstGeom>
                    <a:noFill/>
                    <a:ln>
                      <a:noFill/>
                    </a:ln>
                  </pic:spPr>
                </pic:pic>
              </a:graphicData>
            </a:graphic>
          </wp:inline>
        </w:drawing>
      </w:r>
    </w:p>
    <w:p/>
    <w:p>
      <w:pPr>
        <w:rPr>
          <w:rFonts w:ascii="宋体" w:hAnsi="宋体" w:eastAsia="宋体" w:cs="宋体"/>
          <w:sz w:val="24"/>
        </w:rPr>
      </w:pPr>
      <w:r>
        <w:rPr>
          <w:rFonts w:ascii="宋体" w:hAnsi="宋体" w:eastAsia="宋体" w:cs="宋体"/>
          <w:sz w:val="24"/>
        </w:rPr>
        <w:t>列表可执行的操作：</w:t>
      </w:r>
    </w:p>
    <w:p>
      <w:r>
        <w:rPr>
          <w:rFonts w:hint="eastAsia"/>
        </w:rPr>
        <w:t>◼ 刷新：刷新列表内容</w:t>
      </w:r>
    </w:p>
    <w:p>
      <w:r>
        <w:rPr>
          <w:rFonts w:hint="eastAsia"/>
        </w:rPr>
        <w:t>◼ 添加：打开添加页面，新增记录</w:t>
      </w:r>
    </w:p>
    <w:p>
      <w:r>
        <w:rPr>
          <w:rFonts w:hint="eastAsia"/>
        </w:rPr>
        <w:t>◼ 编辑：打开编辑页面，编辑记录</w:t>
      </w:r>
    </w:p>
    <w:p>
      <w:r>
        <w:rPr>
          <w:rFonts w:hint="eastAsia"/>
        </w:rPr>
        <w:t>◼ 删除：删除记录</w:t>
      </w:r>
    </w:p>
    <w:p>
      <w:r>
        <w:rPr>
          <w:rFonts w:hint="eastAsia"/>
        </w:rPr>
        <w:t>◼ 详细：打开详细页面，查看记录详情</w:t>
      </w:r>
    </w:p>
    <w:p>
      <w:pPr>
        <w:pStyle w:val="6"/>
      </w:pPr>
      <w:r>
        <w:rPr>
          <w:rFonts w:hint="eastAsia"/>
        </w:rPr>
        <w:t>2.3.2.2添加/编辑操作说明</w:t>
      </w:r>
    </w:p>
    <w:p>
      <w:pPr>
        <w:jc w:val="left"/>
      </w:pPr>
      <w:r>
        <w:rPr>
          <w:rFonts w:hint="eastAsia"/>
        </w:rPr>
        <w:t>点击表格右上角“添加”按钮，打开添加页面。</w:t>
      </w:r>
    </w:p>
    <w:p>
      <w:r>
        <w:drawing>
          <wp:inline distT="0" distB="0" distL="114300" distR="114300">
            <wp:extent cx="5266690" cy="2570480"/>
            <wp:effectExtent l="0" t="0" r="10160" b="1270"/>
            <wp:docPr id="26"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true"/>
                    </pic:cNvPicPr>
                  </pic:nvPicPr>
                  <pic:blipFill>
                    <a:blip r:embed="rId29"/>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（列表页面）</w:t>
      </w:r>
    </w:p>
    <w:p>
      <w:pPr>
        <w:jc w:val="left"/>
      </w:pPr>
      <w:r>
        <w:drawing>
          <wp:inline distT="0" distB="0" distL="114300" distR="114300">
            <wp:extent cx="5266690" cy="2570480"/>
            <wp:effectExtent l="0" t="0" r="10160" b="1270"/>
            <wp:docPr id="27"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true"/>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（添加页面）</w:t>
      </w:r>
    </w:p>
    <w:p>
      <w:r>
        <w:drawing>
          <wp:inline distT="0" distB="0" distL="114300" distR="114300">
            <wp:extent cx="5266690" cy="2570480"/>
            <wp:effectExtent l="0" t="0" r="10160" b="1270"/>
            <wp:docPr id="28"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true"/>
                    </pic:cNvPicPr>
                  </pic:nvPicPr>
                  <pic:blipFill>
                    <a:blip r:embed="rId31"/>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（附件页面）</w:t>
      </w:r>
    </w:p>
    <w:p>
      <w:pPr>
        <w:rPr>
          <w:b/>
          <w:bCs/>
          <w:szCs w:val="21"/>
        </w:rPr>
      </w:pPr>
      <w:r>
        <w:rPr>
          <w:rFonts w:hint="eastAsia"/>
          <w:b/>
          <w:bCs/>
          <w:szCs w:val="21"/>
        </w:rPr>
        <w:t>字段说明：</w:t>
      </w:r>
    </w:p>
    <w:p>
      <w:pPr>
        <w:rPr>
          <w:szCs w:val="21"/>
        </w:rPr>
      </w:pPr>
      <w:r>
        <w:rPr>
          <w:rFonts w:hint="eastAsia"/>
          <w:szCs w:val="21"/>
          <w:lang w:val="zh-CN"/>
        </w:rPr>
        <w:t>【</w:t>
      </w:r>
      <w:r>
        <w:rPr>
          <w:rFonts w:hint="eastAsia"/>
          <w:szCs w:val="21"/>
        </w:rPr>
        <w:t>季报所属季度</w:t>
      </w:r>
      <w:r>
        <w:rPr>
          <w:rFonts w:hint="eastAsia"/>
          <w:szCs w:val="21"/>
          <w:lang w:val="zh-CN"/>
        </w:rPr>
        <w:t>】：</w:t>
      </w:r>
      <w:r>
        <w:rPr>
          <w:rFonts w:hint="eastAsia"/>
          <w:szCs w:val="21"/>
        </w:rPr>
        <w:t>默认年度选择当前时间年度，季度点击下拉可选择季度</w:t>
      </w:r>
    </w:p>
    <w:p>
      <w:pPr>
        <w:rPr>
          <w:rFonts w:ascii="宋体" w:hAnsi="宋体" w:eastAsia="宋体" w:cs="宋体"/>
          <w:szCs w:val="21"/>
        </w:rPr>
      </w:pPr>
      <w:r>
        <w:rPr>
          <w:rFonts w:hint="eastAsia"/>
          <w:szCs w:val="21"/>
        </w:rPr>
        <w:t>【</w:t>
      </w:r>
      <w:r>
        <w:rPr>
          <w:rFonts w:ascii="宋体" w:hAnsi="宋体" w:eastAsia="宋体" w:cs="宋体"/>
          <w:szCs w:val="21"/>
        </w:rPr>
        <w:t>年初至本季度累计完成</w:t>
      </w:r>
      <w:r>
        <w:rPr>
          <w:rFonts w:hint="eastAsia" w:ascii="宋体" w:hAnsi="宋体" w:eastAsia="宋体" w:cs="宋体"/>
          <w:szCs w:val="21"/>
        </w:rPr>
        <w:t>营收</w:t>
      </w:r>
      <w:r>
        <w:rPr>
          <w:rFonts w:ascii="宋体" w:hAnsi="宋体" w:eastAsia="宋体" w:cs="宋体"/>
          <w:szCs w:val="21"/>
        </w:rPr>
        <w:t>(万元)</w:t>
      </w:r>
      <w:r>
        <w:rPr>
          <w:rFonts w:hint="eastAsia"/>
          <w:szCs w:val="21"/>
        </w:rPr>
        <w:t>】：此处单位为万元，可输入</w:t>
      </w:r>
      <w:r>
        <w:rPr>
          <w:rFonts w:ascii="宋体" w:hAnsi="宋体" w:eastAsia="宋体" w:cs="宋体"/>
          <w:szCs w:val="21"/>
        </w:rPr>
        <w:t>年初至本季度累计完成</w:t>
      </w:r>
      <w:r>
        <w:rPr>
          <w:rFonts w:hint="eastAsia" w:ascii="宋体" w:hAnsi="宋体" w:eastAsia="宋体" w:cs="宋体"/>
          <w:szCs w:val="21"/>
        </w:rPr>
        <w:t>营收</w:t>
      </w:r>
    </w:p>
    <w:p>
      <w:pPr>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省内年初至本季度累计完成</w:t>
      </w:r>
      <w:r>
        <w:rPr>
          <w:rFonts w:hint="eastAsia" w:ascii="宋体" w:hAnsi="宋体" w:eastAsia="宋体" w:cs="宋体"/>
          <w:szCs w:val="21"/>
        </w:rPr>
        <w:t>营收</w:t>
      </w:r>
      <w:r>
        <w:rPr>
          <w:rFonts w:ascii="宋体" w:hAnsi="宋体" w:eastAsia="宋体" w:cs="宋体"/>
          <w:szCs w:val="21"/>
        </w:rPr>
        <w:t>(万元)</w:t>
      </w:r>
      <w:r>
        <w:rPr>
          <w:rFonts w:hint="eastAsia" w:ascii="宋体" w:hAnsi="宋体" w:eastAsia="宋体" w:cs="宋体"/>
          <w:szCs w:val="21"/>
        </w:rPr>
        <w:t>】：</w:t>
      </w:r>
      <w:r>
        <w:rPr>
          <w:rFonts w:hint="eastAsia"/>
          <w:szCs w:val="21"/>
        </w:rPr>
        <w:t>此处单位为万元，可输入</w:t>
      </w:r>
      <w:r>
        <w:rPr>
          <w:rFonts w:ascii="宋体" w:hAnsi="宋体" w:eastAsia="宋体" w:cs="宋体"/>
          <w:szCs w:val="21"/>
        </w:rPr>
        <w:t>省内年初至本季度累计完成</w:t>
      </w:r>
      <w:r>
        <w:rPr>
          <w:rFonts w:hint="eastAsia" w:ascii="宋体" w:hAnsi="宋体" w:eastAsia="宋体" w:cs="宋体"/>
          <w:szCs w:val="21"/>
        </w:rPr>
        <w:t>营收</w:t>
      </w:r>
    </w:p>
    <w:p>
      <w:pPr>
        <w:rPr>
          <w:rFonts w:ascii="宋体" w:hAnsi="宋体" w:eastAsia="宋体" w:cs="宋体"/>
          <w:szCs w:val="21"/>
        </w:rPr>
      </w:pPr>
      <w:r>
        <w:rPr>
          <w:rFonts w:hint="eastAsia" w:ascii="宋体" w:hAnsi="宋体" w:eastAsia="宋体" w:cs="宋体"/>
          <w:szCs w:val="21"/>
        </w:rPr>
        <w:t>【</w:t>
      </w:r>
      <w:r>
        <w:rPr>
          <w:rFonts w:ascii="Helvetica" w:hAnsi="Helvetica" w:eastAsia="Helvetica" w:cs="Helvetica"/>
          <w:color w:val="000000"/>
          <w:szCs w:val="21"/>
          <w:shd w:val="clear" w:color="auto" w:fill="FFFFFF"/>
        </w:rPr>
        <w:t>省外年初至本季度累计完成</w:t>
      </w:r>
      <w:r>
        <w:rPr>
          <w:rFonts w:hint="eastAsia" w:ascii="宋体" w:hAnsi="宋体" w:eastAsia="宋体" w:cs="宋体"/>
          <w:szCs w:val="21"/>
        </w:rPr>
        <w:t>营收】：此处货币单位可于下拉选择币种，若项目营收非下拉币种的或涉及多个币种的统一按当日汇率换算为人民币（万元）填报（仅限在滇企业可填报）</w:t>
      </w:r>
    </w:p>
    <w:p>
      <w:pPr>
        <w:rPr>
          <w:szCs w:val="21"/>
        </w:rPr>
      </w:pPr>
      <w:r>
        <w:rPr>
          <w:rFonts w:hint="eastAsia"/>
          <w:szCs w:val="21"/>
        </w:rPr>
        <w:t>【填报人】：填写填报人姓名</w:t>
      </w:r>
    </w:p>
    <w:p>
      <w:pPr>
        <w:rPr>
          <w:szCs w:val="21"/>
        </w:rPr>
      </w:pPr>
      <w:r>
        <w:rPr>
          <w:rFonts w:hint="eastAsia"/>
          <w:szCs w:val="21"/>
        </w:rPr>
        <w:t>【填报人联系电话】：填写填报人联系电话</w:t>
      </w:r>
    </w:p>
    <w:p>
      <w:r>
        <w:rPr>
          <w:rFonts w:hint="eastAsia"/>
        </w:rPr>
        <w:t>【企业所报营收支撑材料】：请以pdf格式上传一种及以上证明材料：完成营收的发票、完成营收的拨款证明、财政往来款项发票、报税局所用报表</w:t>
      </w:r>
    </w:p>
    <w:p>
      <w:r>
        <w:rPr>
          <w:rFonts w:hint="eastAsia"/>
        </w:rPr>
        <w:t>【其他】：可上传其他营收支撑材料</w:t>
      </w:r>
    </w:p>
    <w:p>
      <w:pPr>
        <w:rPr>
          <w:szCs w:val="21"/>
        </w:rPr>
      </w:pPr>
    </w:p>
    <w:p>
      <w:pPr>
        <w:rPr>
          <w:b/>
          <w:bCs/>
          <w:szCs w:val="21"/>
        </w:rPr>
      </w:pPr>
      <w:r>
        <w:rPr>
          <w:rFonts w:hint="eastAsia"/>
          <w:b/>
          <w:bCs/>
          <w:szCs w:val="21"/>
        </w:rPr>
        <w:t>按钮说明：</w:t>
      </w:r>
    </w:p>
    <w:p>
      <w:r>
        <w:rPr>
          <w:rFonts w:hint="eastAsia"/>
          <w:szCs w:val="21"/>
        </w:rPr>
        <w:t>【保存】：</w:t>
      </w:r>
      <w:r>
        <w:rPr>
          <w:rFonts w:hint="eastAsia"/>
        </w:rPr>
        <w:t>填完所有必填项点击保存后，保存已填信息，关闭页面；</w:t>
      </w:r>
    </w:p>
    <w:p>
      <w:r>
        <w:rPr>
          <w:rFonts w:hint="eastAsia"/>
        </w:rPr>
        <w:t>【保存并上报】：填完所有必填项点击保存并上报后，保存已填信息，弹窗确认是否上报，点击确认则上报并关闭页面，点击取消则回到添加/编辑页面；</w:t>
      </w:r>
    </w:p>
    <w:p>
      <w:r>
        <w:rPr>
          <w:rFonts w:hint="eastAsia"/>
        </w:rPr>
        <w:t>【关闭】：点击关闭，则不保存已填信息，关闭页面；</w:t>
      </w:r>
    </w:p>
    <w:p>
      <w:pPr>
        <w:pStyle w:val="6"/>
      </w:pPr>
      <w:r>
        <w:rPr>
          <w:rFonts w:hint="eastAsia"/>
        </w:rPr>
        <w:t>2.3.2.3上报操作说明</w:t>
      </w:r>
    </w:p>
    <w:p>
      <w:r>
        <w:rPr>
          <w:rFonts w:hint="eastAsia"/>
        </w:rPr>
        <w:t>点击表格右上角“上报”按钮，可将状态为编辑的记录上报锁定，上报后将用于诚信评分，该记录不可编辑或删除。</w:t>
      </w:r>
    </w:p>
    <w:p>
      <w:r>
        <w:drawing>
          <wp:inline distT="0" distB="0" distL="114300" distR="114300">
            <wp:extent cx="5266690" cy="2570480"/>
            <wp:effectExtent l="0" t="0" r="10160" b="1270"/>
            <wp:docPr id="29"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true"/>
                    </pic:cNvPicPr>
                  </pic:nvPicPr>
                  <pic:blipFill>
                    <a:blip r:embed="rId32"/>
                    <a:stretch>
                      <a:fillRect/>
                    </a:stretch>
                  </pic:blipFill>
                  <pic:spPr>
                    <a:xfrm>
                      <a:off x="0" y="0"/>
                      <a:ext cx="5266690" cy="2570480"/>
                    </a:xfrm>
                    <a:prstGeom prst="rect">
                      <a:avLst/>
                    </a:prstGeom>
                    <a:noFill/>
                    <a:ln>
                      <a:noFill/>
                    </a:ln>
                  </pic:spPr>
                </pic:pic>
              </a:graphicData>
            </a:graphic>
          </wp:inline>
        </w:drawing>
      </w:r>
    </w:p>
    <w:p>
      <w:r>
        <w:drawing>
          <wp:inline distT="0" distB="0" distL="114300" distR="114300">
            <wp:extent cx="5266690" cy="2570480"/>
            <wp:effectExtent l="0" t="0" r="10160" b="1270"/>
            <wp:docPr id="30"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true"/>
                    </pic:cNvPicPr>
                  </pic:nvPicPr>
                  <pic:blipFill>
                    <a:blip r:embed="rId33"/>
                    <a:stretch>
                      <a:fillRect/>
                    </a:stretch>
                  </pic:blipFill>
                  <pic:spPr>
                    <a:xfrm>
                      <a:off x="0" y="0"/>
                      <a:ext cx="5266690" cy="2570480"/>
                    </a:xfrm>
                    <a:prstGeom prst="rect">
                      <a:avLst/>
                    </a:prstGeom>
                    <a:noFill/>
                    <a:ln>
                      <a:noFill/>
                    </a:ln>
                  </pic:spPr>
                </pic:pic>
              </a:graphicData>
            </a:graphic>
          </wp:inline>
        </w:drawing>
      </w:r>
    </w:p>
    <w:p>
      <w:r>
        <w:rPr>
          <w:rFonts w:hint="eastAsia"/>
        </w:rPr>
        <w:t>按钮说明：</w:t>
      </w:r>
    </w:p>
    <w:p>
      <w:r>
        <w:rPr>
          <w:rFonts w:hint="eastAsia"/>
        </w:rPr>
        <w:t>【确定】：点击确定按钮则确认上报操作，该记录状态变更为“已上报”；</w:t>
      </w:r>
    </w:p>
    <w:p>
      <w:pPr>
        <w:rPr>
          <w:rFonts w:ascii="微软雅黑" w:hAnsi="微软雅黑"/>
          <w:b/>
          <w:sz w:val="32"/>
          <w:lang w:val="zh-CN"/>
        </w:rPr>
      </w:pPr>
      <w:r>
        <w:rPr>
          <w:rFonts w:hint="eastAsia"/>
        </w:rPr>
        <w:t>【取消】：点击取消按钮则取消上报操作；</w:t>
      </w:r>
    </w:p>
    <w:p>
      <w:pPr>
        <w:pStyle w:val="3"/>
      </w:pPr>
      <w:bookmarkStart w:id="15" w:name="_Toc15871"/>
      <w:r>
        <w:rPr>
          <w:rFonts w:hint="eastAsia"/>
        </w:rPr>
        <w:t>2.4企业通常行为</w:t>
      </w:r>
      <w:bookmarkEnd w:id="15"/>
    </w:p>
    <w:p>
      <w:pPr>
        <w:pStyle w:val="4"/>
      </w:pPr>
      <w:bookmarkStart w:id="16" w:name="_Toc26899"/>
      <w:r>
        <w:rPr>
          <w:rFonts w:hint="eastAsia"/>
        </w:rPr>
        <w:t>2.4.1经济指标</w:t>
      </w:r>
      <w:bookmarkEnd w:id="16"/>
    </w:p>
    <w:p>
      <w:r>
        <w:rPr>
          <w:rFonts w:hint="eastAsia"/>
        </w:rPr>
        <w:t>经济指标模块仅用于展示企业经济指标排名及得分数据，评分时系统根据“企业产值营收填报”模块已上报的季报数据自动排名计算得分。需要注意以下几点：</w:t>
      </w:r>
    </w:p>
    <w:p>
      <w:r>
        <w:rPr>
          <w:rFonts w:hint="eastAsia"/>
        </w:rPr>
        <w:t>1.仅限注册所在地省份为云南省的企业可参与经济指标省外排名；</w:t>
      </w:r>
    </w:p>
    <w:p>
      <w:r>
        <w:rPr>
          <w:rFonts w:hint="eastAsia"/>
        </w:rPr>
        <w:t>2.排名为同类企业排名，如产值营收模块填报的监理的营收仅和其他监理企业营收排名；</w:t>
      </w:r>
    </w:p>
    <w:p>
      <w:r>
        <w:rPr>
          <w:rFonts w:hint="eastAsia"/>
        </w:rPr>
        <w:t>3.最终参与评分的省内/省外排名，均取企业排名最高的企业类型的排名；</w:t>
      </w:r>
    </w:p>
    <w:p>
      <w:pPr>
        <w:pStyle w:val="5"/>
      </w:pPr>
      <w:r>
        <w:rPr>
          <w:rFonts w:hint="eastAsia"/>
        </w:rPr>
        <w:t>2.4.1.1进入路径</w:t>
      </w:r>
    </w:p>
    <w:p>
      <w:r>
        <w:rPr>
          <w:rFonts w:hint="eastAsia"/>
        </w:rPr>
        <w:t>点击左侧菜单“诚信管理-企业通常行为-企业经济指标”进入该模块</w:t>
      </w:r>
    </w:p>
    <w:p>
      <w:r>
        <w:drawing>
          <wp:inline distT="0" distB="0" distL="114300" distR="114300">
            <wp:extent cx="5266690" cy="2570480"/>
            <wp:effectExtent l="0" t="0" r="10160" b="1270"/>
            <wp:docPr id="31"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true"/>
                    </pic:cNvPicPr>
                  </pic:nvPicPr>
                  <pic:blipFill>
                    <a:blip r:embed="rId34"/>
                    <a:stretch>
                      <a:fillRect/>
                    </a:stretch>
                  </pic:blipFill>
                  <pic:spPr>
                    <a:xfrm>
                      <a:off x="0" y="0"/>
                      <a:ext cx="5266690" cy="2570480"/>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r>
        <w:rPr>
          <w:rFonts w:hint="eastAsia"/>
        </w:rPr>
        <w:t>◼ 刷新：刷新列表内容</w:t>
      </w:r>
    </w:p>
    <w:p>
      <w:r>
        <w:rPr>
          <w:rFonts w:hint="eastAsia"/>
        </w:rPr>
        <w:t>◼ 详细：打开详细页面，查看记录详情</w:t>
      </w:r>
    </w:p>
    <w:p>
      <w:pPr>
        <w:pStyle w:val="4"/>
      </w:pPr>
      <w:bookmarkStart w:id="17" w:name="_Toc16898"/>
      <w:r>
        <w:rPr>
          <w:rFonts w:hint="eastAsia"/>
        </w:rPr>
        <w:t>2.4.2企业纳税等级</w:t>
      </w:r>
      <w:bookmarkEnd w:id="17"/>
    </w:p>
    <w:p>
      <w:r>
        <w:rPr>
          <w:rFonts w:hint="eastAsia"/>
        </w:rPr>
        <w:t>企业纳税等级用于企业填报企业纳税等级信息，</w:t>
      </w:r>
      <w:r>
        <w:t>纳税等级为企业上一年在云南省行政区域内的纳税信用等级，须与税务系统生成的纳税信用等级保持一致。纳税信用等级为A级，得5分；纳税信用等级为B级，得4分；纳税信用等级为M级，得3分；纳税信用等级为C级，得2分；纳税信用等级为D级及无纳税信用等级评价的不得分。</w:t>
      </w:r>
    </w:p>
    <w:p>
      <w:pPr>
        <w:pStyle w:val="5"/>
      </w:pPr>
      <w:r>
        <w:rPr>
          <w:rFonts w:hint="eastAsia"/>
        </w:rPr>
        <w:t>2.4.2.1进入路径</w:t>
      </w:r>
    </w:p>
    <w:p>
      <w:r>
        <w:rPr>
          <w:rFonts w:hint="eastAsia"/>
        </w:rPr>
        <w:t>点击左侧菜单“诚信管理-企业通常行为-企业纳税等级”进入该模块</w:t>
      </w:r>
    </w:p>
    <w:p>
      <w:r>
        <w:drawing>
          <wp:inline distT="0" distB="0" distL="114300" distR="114300">
            <wp:extent cx="5266690" cy="2570480"/>
            <wp:effectExtent l="0" t="0" r="10160" b="1270"/>
            <wp:docPr id="32"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true"/>
                    </pic:cNvPicPr>
                  </pic:nvPicPr>
                  <pic:blipFill>
                    <a:blip r:embed="rId35"/>
                    <a:stretch>
                      <a:fillRect/>
                    </a:stretch>
                  </pic:blipFill>
                  <pic:spPr>
                    <a:xfrm>
                      <a:off x="0" y="0"/>
                      <a:ext cx="5266690" cy="2570480"/>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pPr>
        <w:ind w:firstLine="240" w:firstLineChars="100"/>
        <w:rPr>
          <w:rFonts w:ascii="宋体" w:hAnsi="宋体" w:eastAsia="宋体" w:cs="宋体"/>
          <w:sz w:val="24"/>
        </w:rPr>
      </w:pPr>
      <w:r>
        <w:rPr>
          <w:rFonts w:ascii="宋体" w:hAnsi="宋体" w:eastAsia="宋体" w:cs="宋体"/>
          <w:sz w:val="24"/>
        </w:rPr>
        <w:t>◼ 刷新：</w:t>
      </w:r>
      <w:r>
        <w:rPr>
          <w:rFonts w:hint="eastAsia" w:ascii="宋体" w:hAnsi="宋体" w:eastAsia="宋体" w:cs="宋体"/>
          <w:sz w:val="24"/>
        </w:rPr>
        <w:t>刷新纳税总额</w:t>
      </w:r>
      <w:r>
        <w:rPr>
          <w:rFonts w:ascii="宋体" w:hAnsi="宋体" w:eastAsia="宋体" w:cs="宋体"/>
          <w:sz w:val="24"/>
        </w:rPr>
        <w:t>列表内容</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添加</w:t>
      </w:r>
      <w:r>
        <w:rPr>
          <w:rFonts w:ascii="宋体" w:hAnsi="宋体" w:eastAsia="宋体" w:cs="宋体"/>
          <w:sz w:val="24"/>
        </w:rPr>
        <w:t>：</w:t>
      </w:r>
      <w:r>
        <w:rPr>
          <w:rFonts w:hint="eastAsia" w:ascii="宋体" w:hAnsi="宋体" w:eastAsia="宋体" w:cs="宋体"/>
          <w:sz w:val="24"/>
        </w:rPr>
        <w:t>打开添加页面，新增记录</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编辑</w:t>
      </w:r>
      <w:r>
        <w:rPr>
          <w:rFonts w:ascii="宋体" w:hAnsi="宋体" w:eastAsia="宋体" w:cs="宋体"/>
          <w:sz w:val="24"/>
        </w:rPr>
        <w:t>：</w:t>
      </w:r>
      <w:r>
        <w:rPr>
          <w:rFonts w:hint="eastAsia" w:ascii="宋体" w:hAnsi="宋体" w:eastAsia="宋体" w:cs="宋体"/>
          <w:sz w:val="24"/>
        </w:rPr>
        <w:t>打开编辑页面，编辑记录</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详细</w:t>
      </w:r>
      <w:r>
        <w:rPr>
          <w:rFonts w:ascii="宋体" w:hAnsi="宋体" w:eastAsia="宋体" w:cs="宋体"/>
          <w:sz w:val="24"/>
        </w:rPr>
        <w:t>：</w:t>
      </w:r>
      <w:r>
        <w:rPr>
          <w:rFonts w:hint="eastAsia" w:ascii="宋体" w:hAnsi="宋体" w:eastAsia="宋体" w:cs="宋体"/>
          <w:sz w:val="24"/>
        </w:rPr>
        <w:t>打开详细页面，查看记录详情</w:t>
      </w:r>
    </w:p>
    <w:p/>
    <w:p>
      <w:pPr>
        <w:pStyle w:val="5"/>
      </w:pPr>
      <w:r>
        <w:rPr>
          <w:rFonts w:hint="eastAsia"/>
        </w:rPr>
        <w:t>2.4.2.2添加/编辑操作说明</w:t>
      </w:r>
    </w:p>
    <w:p>
      <w:pPr>
        <w:jc w:val="left"/>
      </w:pPr>
      <w:r>
        <w:rPr>
          <w:rFonts w:hint="eastAsia"/>
        </w:rPr>
        <w:t>点击表格右上角“添加”按钮，打开添加页面。</w:t>
      </w:r>
    </w:p>
    <w:p>
      <w:r>
        <w:drawing>
          <wp:inline distT="0" distB="0" distL="114300" distR="114300">
            <wp:extent cx="5266690" cy="2570480"/>
            <wp:effectExtent l="0" t="0" r="10160" b="1270"/>
            <wp:docPr id="33"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true"/>
                    </pic:cNvPicPr>
                  </pic:nvPicPr>
                  <pic:blipFill>
                    <a:blip r:embed="rId36"/>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（列表页面）</w:t>
      </w:r>
    </w:p>
    <w:p>
      <w:pPr>
        <w:jc w:val="left"/>
      </w:pPr>
    </w:p>
    <w:p>
      <w:pPr>
        <w:jc w:val="left"/>
      </w:pPr>
      <w:r>
        <w:drawing>
          <wp:inline distT="0" distB="0" distL="114300" distR="114300">
            <wp:extent cx="5266690" cy="2570480"/>
            <wp:effectExtent l="0" t="0" r="10160" b="1270"/>
            <wp:docPr id="34"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true"/>
                    </pic:cNvPicPr>
                  </pic:nvPicPr>
                  <pic:blipFill>
                    <a:blip r:embed="rId37"/>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（“纳税等级”添加页面）</w:t>
      </w:r>
    </w:p>
    <w:p>
      <w:r>
        <w:rPr>
          <w:rFonts w:hint="eastAsia"/>
          <w:lang w:val="zh-CN"/>
        </w:rPr>
        <w:t>【</w:t>
      </w:r>
      <w:r>
        <w:rPr>
          <w:rFonts w:hint="eastAsia"/>
        </w:rPr>
        <w:t>填报年度</w:t>
      </w:r>
      <w:r>
        <w:rPr>
          <w:rFonts w:hint="eastAsia"/>
          <w:lang w:val="zh-CN"/>
        </w:rPr>
        <w:t>】：</w:t>
      </w:r>
      <w:r>
        <w:rPr>
          <w:rFonts w:hint="eastAsia"/>
        </w:rPr>
        <w:t>默认选择当前时间上一年度</w:t>
      </w:r>
    </w:p>
    <w:p>
      <w:r>
        <w:rPr>
          <w:rFonts w:hint="eastAsia"/>
        </w:rPr>
        <w:t>【纳税等级】：可选择纳税等级</w:t>
      </w:r>
    </w:p>
    <w:p>
      <w:pPr>
        <w:jc w:val="center"/>
        <w:rPr>
          <w:sz w:val="16"/>
          <w:szCs w:val="20"/>
        </w:rPr>
      </w:pPr>
    </w:p>
    <w:p>
      <w:pPr>
        <w:jc w:val="center"/>
      </w:pPr>
      <w:r>
        <w:drawing>
          <wp:inline distT="0" distB="0" distL="114300" distR="114300">
            <wp:extent cx="5266690" cy="2570480"/>
            <wp:effectExtent l="0" t="0" r="10160" b="1270"/>
            <wp:docPr id="35"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true"/>
                    </pic:cNvPicPr>
                  </pic:nvPicPr>
                  <pic:blipFill>
                    <a:blip r:embed="rId38"/>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（“附件”添加页面）</w:t>
      </w:r>
    </w:p>
    <w:p>
      <w:pPr>
        <w:jc w:val="left"/>
      </w:pPr>
      <w:r>
        <w:rPr>
          <w:rFonts w:hint="eastAsia"/>
          <w:lang w:val="zh-CN"/>
        </w:rPr>
        <w:t>【</w:t>
      </w:r>
      <w:r>
        <w:rPr>
          <w:rFonts w:hint="eastAsia"/>
        </w:rPr>
        <w:t>企业纳税证明材料</w:t>
      </w:r>
      <w:r>
        <w:rPr>
          <w:rFonts w:hint="eastAsia"/>
          <w:lang w:val="zh-CN"/>
        </w:rPr>
        <w:t>】：</w:t>
      </w:r>
      <w:r>
        <w:rPr>
          <w:rFonts w:hint="eastAsia"/>
        </w:rPr>
        <w:t>点击“上传附件”按钮，上传企业纳税证明材料</w:t>
      </w:r>
    </w:p>
    <w:p>
      <w:pPr>
        <w:jc w:val="left"/>
      </w:pPr>
    </w:p>
    <w:p>
      <w:r>
        <w:rPr>
          <w:rFonts w:hint="eastAsia"/>
        </w:rPr>
        <w:t>填完所有必填项点击保存后，保存所填内容，关闭页面。</w:t>
      </w:r>
    </w:p>
    <w:p>
      <w:pPr>
        <w:jc w:val="left"/>
      </w:pPr>
      <w:r>
        <w:drawing>
          <wp:inline distT="0" distB="0" distL="114300" distR="114300">
            <wp:extent cx="5266690" cy="2570480"/>
            <wp:effectExtent l="0" t="0" r="10160" b="1270"/>
            <wp:docPr id="36"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true"/>
                    </pic:cNvPicPr>
                  </pic:nvPicPr>
                  <pic:blipFill>
                    <a:blip r:embed="rId39"/>
                    <a:stretch>
                      <a:fillRect/>
                    </a:stretch>
                  </pic:blipFill>
                  <pic:spPr>
                    <a:xfrm>
                      <a:off x="0" y="0"/>
                      <a:ext cx="5266690" cy="2570480"/>
                    </a:xfrm>
                    <a:prstGeom prst="rect">
                      <a:avLst/>
                    </a:prstGeom>
                    <a:noFill/>
                    <a:ln>
                      <a:noFill/>
                    </a:ln>
                  </pic:spPr>
                </pic:pic>
              </a:graphicData>
            </a:graphic>
          </wp:inline>
        </w:drawing>
      </w:r>
    </w:p>
    <w:p>
      <w:pPr>
        <w:pStyle w:val="4"/>
      </w:pPr>
      <w:bookmarkStart w:id="18" w:name="_Toc30049"/>
      <w:r>
        <w:rPr>
          <w:rFonts w:hint="eastAsia"/>
        </w:rPr>
        <w:t>2.4.3良好信息</w:t>
      </w:r>
      <w:bookmarkEnd w:id="18"/>
    </w:p>
    <w:p>
      <w:r>
        <w:rPr>
          <w:rFonts w:hint="eastAsia"/>
        </w:rPr>
        <w:t>诚信管理-良好信息模块用于企业填报本企业各企业类型的获奖信息，企业良好信息得分=各企业类型良好信息得分之和。需要注意填报的记录是否参与评分是根据奖励日期是否在评分周期内判定。</w:t>
      </w:r>
    </w:p>
    <w:p>
      <w:pPr>
        <w:pStyle w:val="5"/>
      </w:pPr>
      <w:r>
        <w:rPr>
          <w:rFonts w:hint="eastAsia"/>
        </w:rPr>
        <w:t>2.4.3.1进入路径</w:t>
      </w:r>
    </w:p>
    <w:p>
      <w:r>
        <w:rPr>
          <w:rFonts w:hint="eastAsia"/>
        </w:rPr>
        <w:t>点击左侧菜单“诚信管理-企业通常行为-企业良好信息”进入该模块</w:t>
      </w:r>
    </w:p>
    <w:p>
      <w:r>
        <w:drawing>
          <wp:inline distT="0" distB="0" distL="114300" distR="114300">
            <wp:extent cx="5266690" cy="2570480"/>
            <wp:effectExtent l="0" t="0" r="10160" b="1270"/>
            <wp:docPr id="37"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40"/>
                    <pic:cNvPicPr>
                      <a:picLocks noChangeAspect="true"/>
                    </pic:cNvPicPr>
                  </pic:nvPicPr>
                  <pic:blipFill>
                    <a:blip r:embed="rId40"/>
                    <a:stretch>
                      <a:fillRect/>
                    </a:stretch>
                  </pic:blipFill>
                  <pic:spPr>
                    <a:xfrm>
                      <a:off x="0" y="0"/>
                      <a:ext cx="5266690" cy="2570480"/>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pPr>
        <w:ind w:firstLine="240" w:firstLineChars="100"/>
        <w:rPr>
          <w:rFonts w:ascii="宋体" w:hAnsi="宋体" w:eastAsia="宋体" w:cs="宋体"/>
          <w:sz w:val="24"/>
        </w:rPr>
      </w:pPr>
      <w:r>
        <w:rPr>
          <w:rFonts w:ascii="宋体" w:hAnsi="宋体" w:eastAsia="宋体" w:cs="宋体"/>
          <w:sz w:val="24"/>
        </w:rPr>
        <w:t>◼ 刷新：</w:t>
      </w:r>
      <w:r>
        <w:rPr>
          <w:rFonts w:hint="eastAsia" w:ascii="宋体" w:hAnsi="宋体" w:eastAsia="宋体" w:cs="宋体"/>
          <w:sz w:val="24"/>
        </w:rPr>
        <w:t>刷新良好信息</w:t>
      </w:r>
      <w:r>
        <w:rPr>
          <w:rFonts w:ascii="宋体" w:hAnsi="宋体" w:eastAsia="宋体" w:cs="宋体"/>
          <w:sz w:val="24"/>
        </w:rPr>
        <w:t>列表内容</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添加</w:t>
      </w:r>
      <w:r>
        <w:rPr>
          <w:rFonts w:ascii="宋体" w:hAnsi="宋体" w:eastAsia="宋体" w:cs="宋体"/>
          <w:sz w:val="24"/>
        </w:rPr>
        <w:t>：</w:t>
      </w:r>
      <w:r>
        <w:rPr>
          <w:rFonts w:hint="eastAsia" w:ascii="宋体" w:hAnsi="宋体" w:eastAsia="宋体" w:cs="宋体"/>
          <w:sz w:val="24"/>
        </w:rPr>
        <w:t>打开添加页面，新增记录</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编辑</w:t>
      </w:r>
      <w:r>
        <w:rPr>
          <w:rFonts w:ascii="宋体" w:hAnsi="宋体" w:eastAsia="宋体" w:cs="宋体"/>
          <w:sz w:val="24"/>
        </w:rPr>
        <w:t>：</w:t>
      </w:r>
      <w:r>
        <w:rPr>
          <w:rFonts w:hint="eastAsia" w:ascii="宋体" w:hAnsi="宋体" w:eastAsia="宋体" w:cs="宋体"/>
          <w:sz w:val="24"/>
        </w:rPr>
        <w:t>打开编辑页面，编辑该记录</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删除</w:t>
      </w:r>
      <w:r>
        <w:rPr>
          <w:rFonts w:ascii="宋体" w:hAnsi="宋体" w:eastAsia="宋体" w:cs="宋体"/>
          <w:sz w:val="24"/>
        </w:rPr>
        <w:t>：</w:t>
      </w:r>
      <w:r>
        <w:rPr>
          <w:rFonts w:hint="eastAsia" w:ascii="宋体" w:hAnsi="宋体" w:eastAsia="宋体" w:cs="宋体"/>
          <w:sz w:val="24"/>
        </w:rPr>
        <w:t>删除记录</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详细</w:t>
      </w:r>
      <w:r>
        <w:rPr>
          <w:rFonts w:ascii="宋体" w:hAnsi="宋体" w:eastAsia="宋体" w:cs="宋体"/>
          <w:sz w:val="24"/>
        </w:rPr>
        <w:t>：</w:t>
      </w:r>
      <w:r>
        <w:rPr>
          <w:rFonts w:hint="eastAsia" w:ascii="宋体" w:hAnsi="宋体" w:eastAsia="宋体" w:cs="宋体"/>
          <w:sz w:val="24"/>
        </w:rPr>
        <w:t>打开详细页面，查看记录详情</w:t>
      </w:r>
    </w:p>
    <w:p/>
    <w:p>
      <w:pPr>
        <w:pStyle w:val="5"/>
      </w:pPr>
      <w:r>
        <w:rPr>
          <w:rFonts w:hint="eastAsia"/>
        </w:rPr>
        <w:t>2.4.3.2添加/编辑操作说明</w:t>
      </w:r>
    </w:p>
    <w:p>
      <w:pPr>
        <w:jc w:val="left"/>
      </w:pPr>
      <w:r>
        <w:rPr>
          <w:rFonts w:hint="eastAsia"/>
        </w:rPr>
        <w:t>点击表格右上角“添加”按钮，打开添加页面。</w:t>
      </w:r>
    </w:p>
    <w:p>
      <w:r>
        <w:drawing>
          <wp:inline distT="0" distB="0" distL="114300" distR="114300">
            <wp:extent cx="5266690" cy="2570480"/>
            <wp:effectExtent l="0" t="0" r="10160" b="1270"/>
            <wp:docPr id="38"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true"/>
                    </pic:cNvPicPr>
                  </pic:nvPicPr>
                  <pic:blipFill>
                    <a:blip r:embed="rId41"/>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（“良好信息”列表页面）</w:t>
      </w:r>
    </w:p>
    <w:p/>
    <w:p>
      <w:pPr>
        <w:jc w:val="center"/>
      </w:pPr>
      <w:r>
        <w:drawing>
          <wp:inline distT="0" distB="0" distL="114300" distR="114300">
            <wp:extent cx="5266690" cy="2570480"/>
            <wp:effectExtent l="0" t="0" r="10160" b="1270"/>
            <wp:docPr id="39"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42"/>
                    <pic:cNvPicPr>
                      <a:picLocks noChangeAspect="true"/>
                    </pic:cNvPicPr>
                  </pic:nvPicPr>
                  <pic:blipFill>
                    <a:blip r:embed="rId42"/>
                    <a:stretch>
                      <a:fillRect/>
                    </a:stretch>
                  </pic:blipFill>
                  <pic:spPr>
                    <a:xfrm>
                      <a:off x="0" y="0"/>
                      <a:ext cx="5266690" cy="2570480"/>
                    </a:xfrm>
                    <a:prstGeom prst="rect">
                      <a:avLst/>
                    </a:prstGeom>
                    <a:noFill/>
                    <a:ln>
                      <a:noFill/>
                    </a:ln>
                  </pic:spPr>
                </pic:pic>
              </a:graphicData>
            </a:graphic>
          </wp:inline>
        </w:drawing>
      </w:r>
    </w:p>
    <w:p>
      <w:pPr>
        <w:jc w:val="center"/>
        <w:rPr>
          <w:sz w:val="16"/>
          <w:szCs w:val="20"/>
        </w:rPr>
      </w:pPr>
      <w:r>
        <w:rPr>
          <w:rFonts w:hint="eastAsia"/>
          <w:sz w:val="16"/>
          <w:szCs w:val="20"/>
        </w:rPr>
        <w:t>（“良好信息”添加页面）</w:t>
      </w:r>
    </w:p>
    <w:p/>
    <w:p>
      <w:r>
        <w:rPr>
          <w:rFonts w:hint="eastAsia"/>
        </w:rPr>
        <w:t>【企业名称】：根据当前账号自动填入</w:t>
      </w:r>
    </w:p>
    <w:p>
      <w:r>
        <w:rPr>
          <w:rFonts w:hint="eastAsia"/>
        </w:rPr>
        <w:t>【企业统一社会信用代码】：根据当前账号自动填入</w:t>
      </w:r>
    </w:p>
    <w:p>
      <w:r>
        <w:rPr>
          <w:rFonts w:hint="eastAsia"/>
        </w:rPr>
        <w:t>【企业类型】：点击下拉框选择企业类型</w:t>
      </w:r>
    </w:p>
    <w:p>
      <w:r>
        <w:rPr>
          <w:rFonts w:hint="eastAsia"/>
        </w:rPr>
        <w:t>【良好信息】：点击下拉框选择良好信息</w:t>
      </w:r>
    </w:p>
    <w:p>
      <w:r>
        <w:rPr>
          <w:rFonts w:hint="eastAsia"/>
        </w:rPr>
        <w:t>【评价标准】：点击下拉框选择评价标准，其中“工程质量奖”可选择右侧下拉选择等级</w:t>
      </w:r>
    </w:p>
    <w:p>
      <w:r>
        <w:rPr>
          <w:rFonts w:hint="eastAsia"/>
        </w:rPr>
        <w:t>【奖励行为发生日期】：点击日期框选择奖励行为发生日期</w:t>
      </w:r>
    </w:p>
    <w:p>
      <w:r>
        <w:rPr>
          <w:rFonts w:hint="eastAsia"/>
        </w:rPr>
        <w:t>【奖励行为发生地】：点击下拉框选择奖励行为发生地</w:t>
      </w:r>
    </w:p>
    <w:p>
      <w:r>
        <w:rPr>
          <w:rFonts w:hint="eastAsia"/>
        </w:rPr>
        <w:t>【奖励行为描述】：输入奖励行为描述</w:t>
      </w:r>
    </w:p>
    <w:p>
      <w:r>
        <w:rPr>
          <w:rFonts w:hint="eastAsia"/>
        </w:rPr>
        <w:t>【获奖项目】：可直接输入或点击选择按钮选择获奖项目</w:t>
      </w:r>
    </w:p>
    <w:p>
      <w:r>
        <w:rPr>
          <w:rFonts w:hint="eastAsia"/>
        </w:rPr>
        <w:t>【奖励部门】：输入奖励部门</w:t>
      </w:r>
    </w:p>
    <w:p>
      <w:r>
        <w:rPr>
          <w:rFonts w:hint="eastAsia"/>
        </w:rPr>
        <w:t>【奖励决定文号】：输入奖励决定文号</w:t>
      </w:r>
    </w:p>
    <w:p>
      <w:r>
        <w:rPr>
          <w:rFonts w:hint="eastAsia"/>
        </w:rPr>
        <w:t>【奖励日期】：点击日期框选择奖励日期</w:t>
      </w:r>
    </w:p>
    <w:p>
      <w:r>
        <w:rPr>
          <w:rFonts w:hint="eastAsia"/>
        </w:rPr>
        <w:t>【奖励决定内容】：自动获取，可编辑</w:t>
      </w:r>
    </w:p>
    <w:p>
      <w:r>
        <w:rPr>
          <w:rFonts w:hint="eastAsia"/>
        </w:rPr>
        <w:t>【登记人】：根据当前账号自动填入</w:t>
      </w:r>
    </w:p>
    <w:p>
      <w:r>
        <w:rPr>
          <w:rFonts w:hint="eastAsia"/>
        </w:rPr>
        <w:t>【登记人联系电话】：根据当前账号自动填入</w:t>
      </w:r>
    </w:p>
    <w:p/>
    <w:p>
      <w:r>
        <w:drawing>
          <wp:inline distT="0" distB="0" distL="114300" distR="114300">
            <wp:extent cx="5266690" cy="2570480"/>
            <wp:effectExtent l="0" t="0" r="10160" b="1270"/>
            <wp:docPr id="40"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true"/>
                    </pic:cNvPicPr>
                  </pic:nvPicPr>
                  <pic:blipFill>
                    <a:blip r:embed="rId43"/>
                    <a:stretch>
                      <a:fillRect/>
                    </a:stretch>
                  </pic:blipFill>
                  <pic:spPr>
                    <a:xfrm>
                      <a:off x="0" y="0"/>
                      <a:ext cx="5266690" cy="2570480"/>
                    </a:xfrm>
                    <a:prstGeom prst="rect">
                      <a:avLst/>
                    </a:prstGeom>
                    <a:noFill/>
                    <a:ln>
                      <a:noFill/>
                    </a:ln>
                  </pic:spPr>
                </pic:pic>
              </a:graphicData>
            </a:graphic>
          </wp:inline>
        </w:drawing>
      </w:r>
    </w:p>
    <w:p>
      <w:pPr>
        <w:jc w:val="center"/>
      </w:pPr>
      <w:r>
        <w:rPr>
          <w:rFonts w:hint="eastAsia"/>
          <w:sz w:val="16"/>
          <w:szCs w:val="20"/>
        </w:rPr>
        <w:t>（“附件”添加页面）</w:t>
      </w:r>
    </w:p>
    <w:p/>
    <w:p>
      <w:pPr>
        <w:jc w:val="left"/>
      </w:pPr>
      <w:r>
        <w:rPr>
          <w:rFonts w:hint="eastAsia"/>
          <w:lang w:val="zh-CN"/>
        </w:rPr>
        <w:t>【</w:t>
      </w:r>
      <w:r>
        <w:rPr>
          <w:rFonts w:hint="eastAsia"/>
        </w:rPr>
        <w:t>企业奖励行为证明材料</w:t>
      </w:r>
      <w:r>
        <w:rPr>
          <w:rFonts w:hint="eastAsia"/>
          <w:lang w:val="zh-CN"/>
        </w:rPr>
        <w:t>】：</w:t>
      </w:r>
      <w:r>
        <w:rPr>
          <w:rFonts w:hint="eastAsia"/>
        </w:rPr>
        <w:t>点击“上传附件”按钮，上传企业奖励行为证明材料</w:t>
      </w:r>
    </w:p>
    <w:p/>
    <w:p>
      <w:r>
        <w:rPr>
          <w:rFonts w:hint="eastAsia"/>
        </w:rPr>
        <w:t>填完所有必填项点击保存后，保存所填内容，关闭页面。</w:t>
      </w:r>
    </w:p>
    <w:p>
      <w:r>
        <w:drawing>
          <wp:inline distT="0" distB="0" distL="114300" distR="114300">
            <wp:extent cx="5266690" cy="2570480"/>
            <wp:effectExtent l="0" t="0" r="10160" b="1270"/>
            <wp:docPr id="41"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true"/>
                    </pic:cNvPicPr>
                  </pic:nvPicPr>
                  <pic:blipFill>
                    <a:blip r:embed="rId44"/>
                    <a:stretch>
                      <a:fillRect/>
                    </a:stretch>
                  </pic:blipFill>
                  <pic:spPr>
                    <a:xfrm>
                      <a:off x="0" y="0"/>
                      <a:ext cx="5266690" cy="2570480"/>
                    </a:xfrm>
                    <a:prstGeom prst="rect">
                      <a:avLst/>
                    </a:prstGeom>
                    <a:noFill/>
                    <a:ln>
                      <a:noFill/>
                    </a:ln>
                  </pic:spPr>
                </pic:pic>
              </a:graphicData>
            </a:graphic>
          </wp:inline>
        </w:drawing>
      </w:r>
    </w:p>
    <w:p>
      <w:pPr>
        <w:rPr>
          <w:lang w:val="zh-CN"/>
        </w:rPr>
      </w:pPr>
    </w:p>
    <w:p>
      <w:pPr>
        <w:pStyle w:val="4"/>
      </w:pPr>
      <w:bookmarkStart w:id="19" w:name="_Toc31405"/>
      <w:r>
        <w:rPr>
          <w:rFonts w:hint="eastAsia"/>
        </w:rPr>
        <w:t>2.4.3职工参保率及执业信息</w:t>
      </w:r>
      <w:bookmarkEnd w:id="19"/>
    </w:p>
    <w:p>
      <w:r>
        <w:rPr>
          <w:rFonts w:hint="eastAsia"/>
        </w:rPr>
        <w:t>诚信管理-职工参保率及执业信息模块用于展示企业实时职工参保率和职工执业信息，企业可通过该模块列表页“前往完善”按钮点击跳转至人员管理模块完善人员参保和执业信息。</w:t>
      </w:r>
    </w:p>
    <w:p>
      <w:pPr>
        <w:pStyle w:val="5"/>
      </w:pPr>
      <w:r>
        <w:rPr>
          <w:rFonts w:hint="eastAsia"/>
        </w:rPr>
        <w:t>2.4.3.1进入路径</w:t>
      </w:r>
    </w:p>
    <w:p>
      <w:r>
        <w:rPr>
          <w:rFonts w:hint="eastAsia"/>
        </w:rPr>
        <w:t>点击左侧菜单“诚信管理-企业通常行为-职工参保率及执业信息”进入该模块。</w:t>
      </w:r>
      <w:r>
        <w:drawing>
          <wp:inline distT="0" distB="0" distL="114300" distR="114300">
            <wp:extent cx="5266690" cy="2570480"/>
            <wp:effectExtent l="0" t="0" r="10160" b="1270"/>
            <wp:docPr id="42"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5"/>
                    <pic:cNvPicPr>
                      <a:picLocks noChangeAspect="true"/>
                    </pic:cNvPicPr>
                  </pic:nvPicPr>
                  <pic:blipFill>
                    <a:blip r:embed="rId45"/>
                    <a:stretch>
                      <a:fillRect/>
                    </a:stretch>
                  </pic:blipFill>
                  <pic:spPr>
                    <a:xfrm>
                      <a:off x="0" y="0"/>
                      <a:ext cx="5266690" cy="2570480"/>
                    </a:xfrm>
                    <a:prstGeom prst="rect">
                      <a:avLst/>
                    </a:prstGeom>
                    <a:noFill/>
                    <a:ln>
                      <a:noFill/>
                    </a:ln>
                  </pic:spPr>
                </pic:pic>
              </a:graphicData>
            </a:graphic>
          </wp:inline>
        </w:drawing>
      </w:r>
    </w:p>
    <w:p>
      <w:pPr>
        <w:rPr>
          <w:rFonts w:ascii="宋体" w:hAnsi="宋体" w:eastAsia="宋体" w:cs="宋体"/>
          <w:szCs w:val="21"/>
        </w:rPr>
      </w:pPr>
      <w:r>
        <w:rPr>
          <w:rFonts w:ascii="宋体" w:hAnsi="宋体" w:eastAsia="宋体" w:cs="宋体"/>
          <w:szCs w:val="21"/>
        </w:rPr>
        <w:t>列表可执行的操作：</w:t>
      </w:r>
    </w:p>
    <w:p>
      <w:pPr>
        <w:ind w:firstLine="210" w:firstLineChars="100"/>
        <w:rPr>
          <w:rFonts w:ascii="宋体" w:hAnsi="宋体" w:eastAsia="宋体" w:cs="宋体"/>
          <w:szCs w:val="21"/>
        </w:rPr>
      </w:pPr>
      <w:r>
        <w:rPr>
          <w:rFonts w:ascii="宋体" w:hAnsi="宋体" w:eastAsia="宋体" w:cs="宋体"/>
          <w:szCs w:val="21"/>
        </w:rPr>
        <w:t>◼ 刷新：</w:t>
      </w:r>
      <w:r>
        <w:rPr>
          <w:rFonts w:hint="eastAsia" w:ascii="宋体" w:hAnsi="宋体" w:eastAsia="宋体" w:cs="宋体"/>
          <w:szCs w:val="21"/>
        </w:rPr>
        <w:t>刷新</w:t>
      </w:r>
      <w:r>
        <w:rPr>
          <w:rFonts w:ascii="宋体" w:hAnsi="宋体" w:eastAsia="宋体" w:cs="宋体"/>
          <w:szCs w:val="21"/>
        </w:rPr>
        <w:t>列表内容</w:t>
      </w:r>
    </w:p>
    <w:p>
      <w:pPr>
        <w:ind w:firstLine="210" w:firstLineChars="100"/>
        <w:rPr>
          <w:rFonts w:ascii="宋体" w:hAnsi="宋体" w:eastAsia="宋体" w:cs="宋体"/>
          <w:szCs w:val="21"/>
        </w:rPr>
      </w:pPr>
      <w:r>
        <w:rPr>
          <w:rFonts w:ascii="宋体" w:hAnsi="宋体" w:eastAsia="宋体" w:cs="宋体"/>
          <w:szCs w:val="21"/>
        </w:rPr>
        <w:t xml:space="preserve">◼ </w:t>
      </w:r>
      <w:r>
        <w:rPr>
          <w:rFonts w:hint="eastAsia" w:ascii="宋体" w:hAnsi="宋体" w:eastAsia="宋体" w:cs="宋体"/>
          <w:szCs w:val="21"/>
        </w:rPr>
        <w:t>前往完善</w:t>
      </w:r>
      <w:r>
        <w:rPr>
          <w:rFonts w:ascii="宋体" w:hAnsi="宋体" w:eastAsia="宋体" w:cs="宋体"/>
          <w:szCs w:val="21"/>
        </w:rPr>
        <w:t>：</w:t>
      </w:r>
      <w:r>
        <w:rPr>
          <w:rFonts w:hint="eastAsia" w:ascii="宋体" w:hAnsi="宋体" w:eastAsia="宋体" w:cs="宋体"/>
          <w:szCs w:val="21"/>
        </w:rPr>
        <w:t>点击后自动跳转至“人员管理-企业人员管理”页面</w:t>
      </w:r>
    </w:p>
    <w:p>
      <w:pPr>
        <w:pStyle w:val="5"/>
      </w:pPr>
      <w:r>
        <w:rPr>
          <w:rFonts w:hint="eastAsia"/>
        </w:rPr>
        <w:t>2.4.3.2添加/编辑操作说明</w:t>
      </w:r>
    </w:p>
    <w:p>
      <w:pPr>
        <w:jc w:val="left"/>
        <w:rPr>
          <w:szCs w:val="21"/>
        </w:rPr>
      </w:pPr>
      <w:r>
        <w:rPr>
          <w:rFonts w:hint="eastAsia"/>
          <w:szCs w:val="21"/>
        </w:rPr>
        <w:t>进入</w:t>
      </w:r>
      <w:r>
        <w:rPr>
          <w:rFonts w:hint="eastAsia" w:ascii="宋体" w:hAnsi="宋体" w:eastAsia="宋体" w:cs="宋体"/>
          <w:szCs w:val="21"/>
        </w:rPr>
        <w:t>“人员管理-企业人员管理”后，</w:t>
      </w:r>
      <w:r>
        <w:rPr>
          <w:rFonts w:hint="eastAsia"/>
          <w:szCs w:val="21"/>
        </w:rPr>
        <w:t>点击表格右上角“编辑”按钮，打开编辑页面。</w:t>
      </w:r>
    </w:p>
    <w:p>
      <w:r>
        <w:drawing>
          <wp:inline distT="0" distB="0" distL="114300" distR="114300">
            <wp:extent cx="5266690" cy="2570480"/>
            <wp:effectExtent l="0" t="0" r="10160" b="1270"/>
            <wp:docPr id="43"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6"/>
                    <pic:cNvPicPr>
                      <a:picLocks noChangeAspect="true"/>
                    </pic:cNvPicPr>
                  </pic:nvPicPr>
                  <pic:blipFill>
                    <a:blip r:embed="rId46"/>
                    <a:stretch>
                      <a:fillRect/>
                    </a:stretch>
                  </pic:blipFill>
                  <pic:spPr>
                    <a:xfrm>
                      <a:off x="0" y="0"/>
                      <a:ext cx="5266690" cy="2570480"/>
                    </a:xfrm>
                    <a:prstGeom prst="rect">
                      <a:avLst/>
                    </a:prstGeom>
                    <a:noFill/>
                    <a:ln>
                      <a:noFill/>
                    </a:ln>
                  </pic:spPr>
                </pic:pic>
              </a:graphicData>
            </a:graphic>
          </wp:inline>
        </w:drawing>
      </w:r>
    </w:p>
    <w:p>
      <w:r>
        <w:rPr>
          <w:rFonts w:hint="eastAsia"/>
        </w:rPr>
        <w:t>在编辑页面的人员信息tab中，完善“是否购买社保”、“参保时间”等和参保率相关的字段。</w:t>
      </w:r>
    </w:p>
    <w:p>
      <w:r>
        <w:drawing>
          <wp:inline distT="0" distB="0" distL="114300" distR="114300">
            <wp:extent cx="5266690" cy="2570480"/>
            <wp:effectExtent l="0" t="0" r="10160" b="1270"/>
            <wp:docPr id="44"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7"/>
                    <pic:cNvPicPr>
                      <a:picLocks noChangeAspect="true"/>
                    </pic:cNvPicPr>
                  </pic:nvPicPr>
                  <pic:blipFill>
                    <a:blip r:embed="rId47"/>
                    <a:stretch>
                      <a:fillRect/>
                    </a:stretch>
                  </pic:blipFill>
                  <pic:spPr>
                    <a:xfrm>
                      <a:off x="0" y="0"/>
                      <a:ext cx="5266690" cy="2570480"/>
                    </a:xfrm>
                    <a:prstGeom prst="rect">
                      <a:avLst/>
                    </a:prstGeom>
                    <a:noFill/>
                    <a:ln>
                      <a:noFill/>
                    </a:ln>
                  </pic:spPr>
                </pic:pic>
              </a:graphicData>
            </a:graphic>
          </wp:inline>
        </w:drawing>
      </w:r>
    </w:p>
    <w:p>
      <w:r>
        <w:rPr>
          <w:rFonts w:hint="eastAsia"/>
        </w:rPr>
        <w:t>在证书信息tab，点击右上角“登记”按钮完善职工执业信息相关字段。</w:t>
      </w:r>
    </w:p>
    <w:p>
      <w:r>
        <w:drawing>
          <wp:inline distT="0" distB="0" distL="114300" distR="114300">
            <wp:extent cx="5266690" cy="2570480"/>
            <wp:effectExtent l="0" t="0" r="10160" b="1270"/>
            <wp:docPr id="45"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8"/>
                    <pic:cNvPicPr>
                      <a:picLocks noChangeAspect="true"/>
                    </pic:cNvPicPr>
                  </pic:nvPicPr>
                  <pic:blipFill>
                    <a:blip r:embed="rId48"/>
                    <a:stretch>
                      <a:fillRect/>
                    </a:stretch>
                  </pic:blipFill>
                  <pic:spPr>
                    <a:xfrm>
                      <a:off x="0" y="0"/>
                      <a:ext cx="5266690" cy="2570480"/>
                    </a:xfrm>
                    <a:prstGeom prst="rect">
                      <a:avLst/>
                    </a:prstGeom>
                    <a:noFill/>
                    <a:ln>
                      <a:noFill/>
                    </a:ln>
                  </pic:spPr>
                </pic:pic>
              </a:graphicData>
            </a:graphic>
          </wp:inline>
        </w:drawing>
      </w:r>
    </w:p>
    <w:p>
      <w:r>
        <w:drawing>
          <wp:inline distT="0" distB="0" distL="114300" distR="114300">
            <wp:extent cx="5266690" cy="2570480"/>
            <wp:effectExtent l="0" t="0" r="10160" b="1270"/>
            <wp:docPr id="46"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50"/>
                    <pic:cNvPicPr>
                      <a:picLocks noChangeAspect="true"/>
                    </pic:cNvPicPr>
                  </pic:nvPicPr>
                  <pic:blipFill>
                    <a:blip r:embed="rId49"/>
                    <a:stretch>
                      <a:fillRect/>
                    </a:stretch>
                  </pic:blipFill>
                  <pic:spPr>
                    <a:xfrm>
                      <a:off x="0" y="0"/>
                      <a:ext cx="5266690" cy="2570480"/>
                    </a:xfrm>
                    <a:prstGeom prst="rect">
                      <a:avLst/>
                    </a:prstGeom>
                    <a:noFill/>
                    <a:ln>
                      <a:noFill/>
                    </a:ln>
                  </pic:spPr>
                </pic:pic>
              </a:graphicData>
            </a:graphic>
          </wp:inline>
        </w:drawing>
      </w:r>
    </w:p>
    <w:p>
      <w:r>
        <w:rPr>
          <w:rFonts w:hint="eastAsia"/>
        </w:rPr>
        <w:t>在职称信息息tab，点击右上角“登记”按钮完善职工执业信息相关字段。</w:t>
      </w:r>
    </w:p>
    <w:p>
      <w:r>
        <w:drawing>
          <wp:inline distT="0" distB="0" distL="114300" distR="114300">
            <wp:extent cx="5266690" cy="2570480"/>
            <wp:effectExtent l="0" t="0" r="10160" b="1270"/>
            <wp:docPr id="47"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9"/>
                    <pic:cNvPicPr>
                      <a:picLocks noChangeAspect="true"/>
                    </pic:cNvPicPr>
                  </pic:nvPicPr>
                  <pic:blipFill>
                    <a:blip r:embed="rId50"/>
                    <a:stretch>
                      <a:fillRect/>
                    </a:stretch>
                  </pic:blipFill>
                  <pic:spPr>
                    <a:xfrm>
                      <a:off x="0" y="0"/>
                      <a:ext cx="5266690" cy="2570480"/>
                    </a:xfrm>
                    <a:prstGeom prst="rect">
                      <a:avLst/>
                    </a:prstGeom>
                    <a:noFill/>
                    <a:ln>
                      <a:noFill/>
                    </a:ln>
                  </pic:spPr>
                </pic:pic>
              </a:graphicData>
            </a:graphic>
          </wp:inline>
        </w:drawing>
      </w:r>
    </w:p>
    <w:p>
      <w:r>
        <w:drawing>
          <wp:inline distT="0" distB="0" distL="114300" distR="114300">
            <wp:extent cx="5266690" cy="2570480"/>
            <wp:effectExtent l="0" t="0" r="10160" b="1270"/>
            <wp:docPr id="48"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51"/>
                    <pic:cNvPicPr>
                      <a:picLocks noChangeAspect="true"/>
                    </pic:cNvPicPr>
                  </pic:nvPicPr>
                  <pic:blipFill>
                    <a:blip r:embed="rId51"/>
                    <a:stretch>
                      <a:fillRect/>
                    </a:stretch>
                  </pic:blipFill>
                  <pic:spPr>
                    <a:xfrm>
                      <a:off x="0" y="0"/>
                      <a:ext cx="5266690" cy="2570480"/>
                    </a:xfrm>
                    <a:prstGeom prst="rect">
                      <a:avLst/>
                    </a:prstGeom>
                    <a:noFill/>
                    <a:ln>
                      <a:noFill/>
                    </a:ln>
                  </pic:spPr>
                </pic:pic>
              </a:graphicData>
            </a:graphic>
          </wp:inline>
        </w:drawing>
      </w:r>
    </w:p>
    <w:p>
      <w:pPr>
        <w:pStyle w:val="4"/>
      </w:pPr>
      <w:bookmarkStart w:id="20" w:name="_Toc16068"/>
      <w:r>
        <w:rPr>
          <w:rFonts w:hint="eastAsia"/>
        </w:rPr>
        <w:t>2.4.4第三方信用评价</w:t>
      </w:r>
      <w:bookmarkEnd w:id="20"/>
    </w:p>
    <w:p>
      <w:r>
        <w:rPr>
          <w:rFonts w:hint="eastAsia"/>
        </w:rPr>
        <w:t>诚信管理-第三方信用评价模块仅用于展示企业信用评价数据，企业信用评价数据从云南省信用综合评级评价服务平台自动导入，该指标得分=企业信用综合指标得分/100*6。</w:t>
      </w:r>
    </w:p>
    <w:p>
      <w:pPr>
        <w:pStyle w:val="5"/>
      </w:pPr>
      <w:r>
        <w:rPr>
          <w:rFonts w:hint="eastAsia"/>
        </w:rPr>
        <w:t>2.4.4.1进入路径</w:t>
      </w:r>
    </w:p>
    <w:p>
      <w:r>
        <w:rPr>
          <w:rFonts w:hint="eastAsia"/>
        </w:rPr>
        <w:t>点击左侧菜单“诚信管理-企业通常行为-第三方信用评价”进入该模块。</w:t>
      </w:r>
    </w:p>
    <w:p>
      <w:r>
        <w:drawing>
          <wp:inline distT="0" distB="0" distL="114300" distR="114300">
            <wp:extent cx="5266690" cy="2570480"/>
            <wp:effectExtent l="0" t="0" r="10160" b="1270"/>
            <wp:docPr id="49"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36"/>
                    <pic:cNvPicPr>
                      <a:picLocks noChangeAspect="true"/>
                    </pic:cNvPicPr>
                  </pic:nvPicPr>
                  <pic:blipFill>
                    <a:blip r:embed="rId52"/>
                    <a:stretch>
                      <a:fillRect/>
                    </a:stretch>
                  </pic:blipFill>
                  <pic:spPr>
                    <a:xfrm>
                      <a:off x="0" y="0"/>
                      <a:ext cx="5266690" cy="2570480"/>
                    </a:xfrm>
                    <a:prstGeom prst="rect">
                      <a:avLst/>
                    </a:prstGeom>
                    <a:noFill/>
                    <a:ln>
                      <a:noFill/>
                    </a:ln>
                  </pic:spPr>
                </pic:pic>
              </a:graphicData>
            </a:graphic>
          </wp:inline>
        </w:drawing>
      </w:r>
    </w:p>
    <w:p>
      <w:pPr>
        <w:rPr>
          <w:rFonts w:ascii="宋体" w:hAnsi="宋体" w:eastAsia="宋体" w:cs="宋体"/>
          <w:sz w:val="24"/>
        </w:rPr>
      </w:pPr>
      <w:r>
        <w:rPr>
          <w:rFonts w:ascii="宋体" w:hAnsi="宋体" w:eastAsia="宋体" w:cs="宋体"/>
          <w:sz w:val="24"/>
        </w:rPr>
        <w:t>列表可执行的操作：</w:t>
      </w:r>
    </w:p>
    <w:p>
      <w:pPr>
        <w:ind w:firstLine="240" w:firstLineChars="100"/>
        <w:rPr>
          <w:rFonts w:ascii="宋体" w:hAnsi="宋体" w:eastAsia="宋体" w:cs="宋体"/>
          <w:sz w:val="24"/>
        </w:rPr>
      </w:pPr>
      <w:r>
        <w:rPr>
          <w:rFonts w:ascii="宋体" w:hAnsi="宋体" w:eastAsia="宋体" w:cs="宋体"/>
          <w:sz w:val="24"/>
        </w:rPr>
        <w:t>◼ 刷新：</w:t>
      </w:r>
      <w:r>
        <w:rPr>
          <w:rFonts w:hint="eastAsia" w:ascii="宋体" w:hAnsi="宋体" w:eastAsia="宋体" w:cs="宋体"/>
          <w:sz w:val="24"/>
        </w:rPr>
        <w:t>刷新良好信息</w:t>
      </w:r>
      <w:r>
        <w:rPr>
          <w:rFonts w:ascii="宋体" w:hAnsi="宋体" w:eastAsia="宋体" w:cs="宋体"/>
          <w:sz w:val="24"/>
        </w:rPr>
        <w:t>列表内容</w:t>
      </w:r>
    </w:p>
    <w:p>
      <w:pPr>
        <w:ind w:firstLine="240" w:firstLineChars="100"/>
        <w:rPr>
          <w:rFonts w:ascii="宋体" w:hAnsi="宋体" w:eastAsia="宋体" w:cs="宋体"/>
          <w:sz w:val="24"/>
        </w:rPr>
      </w:pPr>
      <w:r>
        <w:rPr>
          <w:rFonts w:ascii="宋体" w:hAnsi="宋体" w:eastAsia="宋体" w:cs="宋体"/>
          <w:sz w:val="24"/>
        </w:rPr>
        <w:t xml:space="preserve">◼ </w:t>
      </w:r>
      <w:r>
        <w:rPr>
          <w:rFonts w:hint="eastAsia" w:ascii="宋体" w:hAnsi="宋体" w:eastAsia="宋体" w:cs="宋体"/>
          <w:sz w:val="24"/>
        </w:rPr>
        <w:t>详细</w:t>
      </w:r>
      <w:r>
        <w:rPr>
          <w:rFonts w:ascii="宋体" w:hAnsi="宋体" w:eastAsia="宋体" w:cs="宋体"/>
          <w:sz w:val="24"/>
        </w:rPr>
        <w:t>：</w:t>
      </w:r>
      <w:r>
        <w:rPr>
          <w:rFonts w:hint="eastAsia" w:ascii="宋体" w:hAnsi="宋体" w:eastAsia="宋体" w:cs="宋体"/>
          <w:sz w:val="24"/>
        </w:rPr>
        <w:t>打开详细页面，查看记录详情</w:t>
      </w:r>
    </w:p>
    <w:p>
      <w:pPr>
        <w:ind w:firstLine="240" w:firstLineChars="100"/>
        <w:rPr>
          <w:rFonts w:ascii="宋体" w:hAnsi="宋体" w:eastAsia="宋体" w:cs="宋体"/>
          <w:sz w:val="24"/>
        </w:rPr>
      </w:pPr>
    </w:p>
    <w:p>
      <w:pPr>
        <w:ind w:firstLine="210" w:firstLineChars="100"/>
        <w:rPr>
          <w:rFonts w:ascii="宋体" w:hAnsi="宋体" w:eastAsia="宋体" w:cs="宋体"/>
          <w:sz w:val="24"/>
        </w:rPr>
      </w:pPr>
      <w:r>
        <w:drawing>
          <wp:inline distT="0" distB="0" distL="114300" distR="114300">
            <wp:extent cx="5266690" cy="2543175"/>
            <wp:effectExtent l="0" t="0" r="10160" b="9525"/>
            <wp:docPr id="50"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true"/>
                    </pic:cNvPicPr>
                  </pic:nvPicPr>
                  <pic:blipFill>
                    <a:blip r:embed="rId53"/>
                    <a:stretch>
                      <a:fillRect/>
                    </a:stretch>
                  </pic:blipFill>
                  <pic:spPr>
                    <a:xfrm>
                      <a:off x="0" y="0"/>
                      <a:ext cx="5266690" cy="2543175"/>
                    </a:xfrm>
                    <a:prstGeom prst="rect">
                      <a:avLst/>
                    </a:prstGeom>
                    <a:noFill/>
                    <a:ln>
                      <a:noFill/>
                    </a:ln>
                  </pic:spPr>
                </pic:pic>
              </a:graphicData>
            </a:graphic>
          </wp:inline>
        </w:drawing>
      </w:r>
    </w:p>
    <w:p>
      <w:r>
        <w:rPr>
          <w:rFonts w:hint="eastAsia"/>
        </w:rPr>
        <w:t>各字段数据从云南省信用综合评级评价服务平台自动导入。</w:t>
      </w:r>
    </w:p>
    <w:p>
      <w:pPr>
        <w:pStyle w:val="4"/>
      </w:pPr>
      <w:bookmarkStart w:id="21" w:name="_Toc8188"/>
      <w:r>
        <w:rPr>
          <w:rFonts w:hint="eastAsia"/>
        </w:rPr>
        <w:t>2.4.5不良信息</w:t>
      </w:r>
      <w:bookmarkEnd w:id="21"/>
    </w:p>
    <w:p>
      <w:r>
        <w:rPr>
          <w:rFonts w:hint="eastAsia"/>
        </w:rPr>
        <w:t>诚信管理-不良信息模块企业端仅用于查询主管部门填报且审批通过的记录，不良信息由各级主管部门填报且由省级主管部门审批通过后才参与诚信评分。</w:t>
      </w:r>
    </w:p>
    <w:p>
      <w:pPr>
        <w:pStyle w:val="5"/>
      </w:pPr>
      <w:r>
        <w:rPr>
          <w:rFonts w:hint="eastAsia"/>
        </w:rPr>
        <w:t>2.4.5.1进入路径</w:t>
      </w:r>
    </w:p>
    <w:p>
      <w:r>
        <w:rPr>
          <w:rFonts w:hint="eastAsia"/>
        </w:rPr>
        <w:t>点击左侧菜单“诚信管理-企业通常行为-企业不良信息”进入该模块</w:t>
      </w:r>
    </w:p>
    <w:p>
      <w:r>
        <w:drawing>
          <wp:inline distT="0" distB="0" distL="114300" distR="114300">
            <wp:extent cx="5266690" cy="2570480"/>
            <wp:effectExtent l="0" t="0" r="10160" b="1270"/>
            <wp:docPr id="51"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3"/>
                    <pic:cNvPicPr>
                      <a:picLocks noChangeAspect="true"/>
                    </pic:cNvPicPr>
                  </pic:nvPicPr>
                  <pic:blipFill>
                    <a:blip r:embed="rId54"/>
                    <a:stretch>
                      <a:fillRect/>
                    </a:stretch>
                  </pic:blipFill>
                  <pic:spPr>
                    <a:xfrm>
                      <a:off x="0" y="0"/>
                      <a:ext cx="5266690" cy="2570480"/>
                    </a:xfrm>
                    <a:prstGeom prst="rect">
                      <a:avLst/>
                    </a:prstGeom>
                    <a:noFill/>
                    <a:ln>
                      <a:noFill/>
                    </a:ln>
                  </pic:spPr>
                </pic:pic>
              </a:graphicData>
            </a:graphic>
          </wp:inline>
        </w:drawing>
      </w:r>
    </w:p>
    <w:p/>
    <w:p>
      <w:pPr>
        <w:jc w:val="left"/>
      </w:pPr>
      <w:r>
        <w:rPr>
          <w:rFonts w:hint="eastAsia"/>
        </w:rPr>
        <w:t>点击表格右上角“详细”按钮，打开详细页面查看详情。</w:t>
      </w:r>
    </w:p>
    <w:p>
      <w:pPr>
        <w:jc w:val="left"/>
      </w:pPr>
      <w:r>
        <w:drawing>
          <wp:inline distT="0" distB="0" distL="114300" distR="114300">
            <wp:extent cx="5266690" cy="2570480"/>
            <wp:effectExtent l="0" t="0" r="10160" b="1270"/>
            <wp:docPr id="52"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4"/>
                    <pic:cNvPicPr>
                      <a:picLocks noChangeAspect="true"/>
                    </pic:cNvPicPr>
                  </pic:nvPicPr>
                  <pic:blipFill>
                    <a:blip r:embed="rId55"/>
                    <a:stretch>
                      <a:fillRect/>
                    </a:stretch>
                  </pic:blipFill>
                  <pic:spPr>
                    <a:xfrm>
                      <a:off x="0" y="0"/>
                      <a:ext cx="5266690" cy="2570480"/>
                    </a:xfrm>
                    <a:prstGeom prst="rect">
                      <a:avLst/>
                    </a:prstGeom>
                    <a:noFill/>
                    <a:ln>
                      <a:noFill/>
                    </a:ln>
                  </pic:spPr>
                </pic:pic>
              </a:graphicData>
            </a:graphic>
          </wp:inline>
        </w:drawing>
      </w:r>
    </w:p>
    <w:p/>
    <w:p>
      <w:pPr>
        <w:pStyle w:val="3"/>
      </w:pPr>
      <w:bookmarkStart w:id="22" w:name="_Toc14220"/>
      <w:r>
        <w:rPr>
          <w:rFonts w:hint="eastAsia"/>
        </w:rPr>
        <w:t>2.5企业实施行为</w:t>
      </w:r>
      <w:bookmarkEnd w:id="22"/>
    </w:p>
    <w:p>
      <w:pPr>
        <w:widowControl/>
        <w:jc w:val="left"/>
      </w:pPr>
      <w:r>
        <w:rPr>
          <w:rFonts w:ascii="宋体" w:hAnsi="宋体" w:eastAsia="宋体" w:cs="宋体"/>
          <w:kern w:val="0"/>
          <w:sz w:val="24"/>
          <w:lang w:bidi="ar"/>
        </w:rPr>
        <w:t>诚信管理-企业实施行为模块</w:t>
      </w:r>
      <w:r>
        <w:rPr>
          <w:rFonts w:hint="eastAsia" w:ascii="宋体" w:hAnsi="宋体" w:eastAsia="宋体" w:cs="宋体"/>
          <w:kern w:val="0"/>
          <w:sz w:val="24"/>
          <w:lang w:bidi="ar"/>
        </w:rPr>
        <w:t>企业端</w:t>
      </w:r>
      <w:r>
        <w:rPr>
          <w:rFonts w:ascii="宋体" w:hAnsi="宋体" w:eastAsia="宋体" w:cs="宋体"/>
          <w:kern w:val="0"/>
          <w:sz w:val="24"/>
          <w:lang w:bidi="ar"/>
        </w:rPr>
        <w:t>用于</w:t>
      </w:r>
      <w:r>
        <w:rPr>
          <w:rFonts w:hint="eastAsia" w:ascii="宋体" w:hAnsi="宋体" w:eastAsia="宋体" w:cs="宋体"/>
          <w:kern w:val="0"/>
          <w:sz w:val="24"/>
          <w:lang w:bidi="ar"/>
        </w:rPr>
        <w:t>查看</w:t>
      </w:r>
      <w:r>
        <w:rPr>
          <w:rFonts w:ascii="宋体" w:hAnsi="宋体" w:eastAsia="宋体" w:cs="宋体"/>
          <w:kern w:val="0"/>
          <w:sz w:val="24"/>
          <w:lang w:bidi="ar"/>
        </w:rPr>
        <w:t>主管部门填报企业实施行为数据</w:t>
      </w:r>
      <w:r>
        <w:rPr>
          <w:rFonts w:hint="eastAsia" w:ascii="宋体" w:hAnsi="宋体" w:eastAsia="宋体" w:cs="宋体"/>
          <w:kern w:val="0"/>
          <w:sz w:val="24"/>
          <w:lang w:bidi="ar"/>
        </w:rPr>
        <w:t>，</w:t>
      </w:r>
      <w:r>
        <w:rPr>
          <w:rFonts w:ascii="宋体" w:hAnsi="宋体" w:eastAsia="宋体" w:cs="宋体"/>
          <w:kern w:val="0"/>
          <w:sz w:val="24"/>
          <w:lang w:bidi="ar"/>
        </w:rPr>
        <w:t>主管部门录入后</w:t>
      </w:r>
      <w:r>
        <w:rPr>
          <w:rFonts w:hint="eastAsia" w:ascii="宋体" w:hAnsi="宋体" w:eastAsia="宋体" w:cs="宋体"/>
          <w:kern w:val="0"/>
          <w:sz w:val="24"/>
          <w:lang w:bidi="ar"/>
        </w:rPr>
        <w:t>企业的各合同类别的项目后</w:t>
      </w:r>
      <w:r>
        <w:rPr>
          <w:rFonts w:ascii="宋体" w:hAnsi="宋体" w:eastAsia="宋体" w:cs="宋体"/>
          <w:kern w:val="0"/>
          <w:sz w:val="24"/>
          <w:lang w:bidi="ar"/>
        </w:rPr>
        <w:t>，评分时根据已录入的</w:t>
      </w:r>
      <w:r>
        <w:rPr>
          <w:rFonts w:hint="eastAsia" w:ascii="宋体" w:hAnsi="宋体" w:eastAsia="宋体" w:cs="宋体"/>
          <w:kern w:val="0"/>
          <w:sz w:val="24"/>
          <w:lang w:bidi="ar"/>
        </w:rPr>
        <w:t>所有合同类别的项目评分</w:t>
      </w:r>
      <w:r>
        <w:rPr>
          <w:rFonts w:ascii="宋体" w:hAnsi="宋体" w:eastAsia="宋体" w:cs="宋体"/>
          <w:kern w:val="0"/>
          <w:sz w:val="24"/>
          <w:lang w:bidi="ar"/>
        </w:rPr>
        <w:t xml:space="preserve">数据自动计算企业实施行为评分。 </w:t>
      </w:r>
    </w:p>
    <w:p>
      <w:pPr>
        <w:pStyle w:val="5"/>
      </w:pPr>
      <w:r>
        <w:rPr>
          <w:rFonts w:hint="eastAsia"/>
        </w:rPr>
        <w:t>2.5.1进入路径</w:t>
      </w:r>
    </w:p>
    <w:p>
      <w:r>
        <w:rPr>
          <w:rFonts w:hint="eastAsia"/>
        </w:rPr>
        <w:t>点击左侧菜单“诚信管理-企业实施行为”进入该模块。</w:t>
      </w:r>
    </w:p>
    <w:p>
      <w:r>
        <w:drawing>
          <wp:inline distT="0" distB="0" distL="114300" distR="114300">
            <wp:extent cx="5266690" cy="2570480"/>
            <wp:effectExtent l="0" t="0" r="10160" b="1270"/>
            <wp:docPr id="53"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true"/>
                    </pic:cNvPicPr>
                  </pic:nvPicPr>
                  <pic:blipFill>
                    <a:blip r:embed="rId56"/>
                    <a:stretch>
                      <a:fillRect/>
                    </a:stretch>
                  </pic:blipFill>
                  <pic:spPr>
                    <a:xfrm>
                      <a:off x="0" y="0"/>
                      <a:ext cx="5266690" cy="2570480"/>
                    </a:xfrm>
                    <a:prstGeom prst="rect">
                      <a:avLst/>
                    </a:prstGeom>
                    <a:noFill/>
                    <a:ln>
                      <a:noFill/>
                    </a:ln>
                  </pic:spPr>
                </pic:pic>
              </a:graphicData>
            </a:graphic>
          </wp:inline>
        </w:drawing>
      </w:r>
    </w:p>
    <w:p>
      <w:r>
        <w:rPr>
          <w:rFonts w:hint="eastAsia"/>
        </w:rPr>
        <w:t>选中记录点击右上角详细，打开详细页面。</w:t>
      </w:r>
    </w:p>
    <w:p>
      <w:r>
        <w:drawing>
          <wp:inline distT="0" distB="0" distL="114300" distR="114300">
            <wp:extent cx="5266690" cy="2570480"/>
            <wp:effectExtent l="0" t="0" r="10160" b="1270"/>
            <wp:docPr id="54"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6"/>
                    <pic:cNvPicPr>
                      <a:picLocks noChangeAspect="true"/>
                    </pic:cNvPicPr>
                  </pic:nvPicPr>
                  <pic:blipFill>
                    <a:blip r:embed="rId57"/>
                    <a:stretch>
                      <a:fillRect/>
                    </a:stretch>
                  </pic:blipFill>
                  <pic:spPr>
                    <a:xfrm>
                      <a:off x="0" y="0"/>
                      <a:ext cx="5266690" cy="2570480"/>
                    </a:xfrm>
                    <a:prstGeom prst="rect">
                      <a:avLst/>
                    </a:prstGeom>
                    <a:noFill/>
                    <a:ln>
                      <a:noFill/>
                    </a:ln>
                  </pic:spPr>
                </pic:pic>
              </a:graphicData>
            </a:graphic>
          </wp:inline>
        </w:drawing>
      </w:r>
    </w:p>
    <w:p>
      <w:pPr>
        <w:jc w:val="center"/>
      </w:pPr>
      <w:r>
        <w:rPr>
          <w:rFonts w:hint="eastAsia"/>
        </w:rPr>
        <w:t>（详细页面）</w:t>
      </w:r>
    </w:p>
    <w:p/>
    <w:p>
      <w:pPr>
        <w:pStyle w:val="2"/>
      </w:pPr>
      <w:bookmarkStart w:id="23" w:name="_Toc14091"/>
      <w:bookmarkStart w:id="24" w:name="_Toc13346"/>
      <w:r>
        <w:rPr>
          <w:rFonts w:hint="eastAsia"/>
        </w:rPr>
        <w:t>3.诚信评分各指标算分规则说明汇总</w:t>
      </w:r>
      <w:bookmarkEnd w:id="23"/>
      <w:bookmarkEnd w:id="24"/>
    </w:p>
    <w:p>
      <w:pPr>
        <w:widowControl/>
        <w:jc w:val="left"/>
      </w:pPr>
      <w:r>
        <w:rPr>
          <w:rFonts w:hint="eastAsia"/>
        </w:rPr>
        <w:t>“诚信评分各指标算分规则说明汇总”按照文件指标说明了各指标系统内算分规则及填报注意事项，除上述各模块提到的规则外补充了新入库企业、无实施行为记录企业诚信评分计算方式。</w:t>
      </w:r>
    </w:p>
    <w:p>
      <w:pPr>
        <w:pStyle w:val="3"/>
      </w:pPr>
      <w:bookmarkStart w:id="25" w:name="_Toc21948"/>
      <w:r>
        <w:rPr>
          <w:rFonts w:hint="eastAsia"/>
        </w:rPr>
        <w:t>3.1基础信息</w:t>
      </w:r>
      <w:bookmarkEnd w:id="25"/>
    </w:p>
    <w:p>
      <w:r>
        <w:rPr>
          <w:rFonts w:hint="eastAsia"/>
        </w:rPr>
        <w:t>基础信息指标默认企业已有60分，根据企业填报完整度，若有缺失则扣除相应分数。</w:t>
      </w:r>
    </w:p>
    <w:p>
      <w:r>
        <w:rPr>
          <w:rFonts w:hint="eastAsia"/>
        </w:rPr>
        <w:t>系统自动校验本评分周期企业基本信息、产值营收填报模块、良好信息模块、不良信息模块、企业实施行为模块记录共涉及哪些企业类型，根据校验判定企业有的企业类型对以下几点计算得分：</w:t>
      </w:r>
    </w:p>
    <w:p>
      <w:pPr>
        <w:pStyle w:val="4"/>
      </w:pPr>
      <w:bookmarkStart w:id="26" w:name="_Toc18249"/>
      <w:r>
        <w:rPr>
          <w:rFonts w:hint="eastAsia"/>
        </w:rPr>
        <w:t>3.1.1企业资质：</w:t>
      </w:r>
      <w:bookmarkEnd w:id="26"/>
    </w:p>
    <w:p>
      <w:r>
        <w:rPr>
          <w:rFonts w:hint="eastAsia"/>
        </w:rPr>
        <w:t>经校验判定企业有的每个企业类型都至少要有1本证书，若有任意一个企业类型没有证书则扣0.5分，扣分累计；</w:t>
      </w:r>
    </w:p>
    <w:p>
      <w:pPr>
        <w:pStyle w:val="4"/>
      </w:pPr>
      <w:bookmarkStart w:id="27" w:name="_Toc23107"/>
      <w:r>
        <w:rPr>
          <w:rFonts w:hint="eastAsia"/>
        </w:rPr>
        <w:t>3.1.2在册专业技术人员</w:t>
      </w:r>
      <w:bookmarkEnd w:id="27"/>
    </w:p>
    <w:p>
      <w:r>
        <w:rPr>
          <w:rFonts w:hint="eastAsia"/>
        </w:rPr>
        <w:t>人员管理模块需至少有一条企业登记过且该被登记人已认证的记录，若无则扣0.5分；</w:t>
      </w:r>
    </w:p>
    <w:p>
      <w:pPr>
        <w:pStyle w:val="4"/>
      </w:pPr>
      <w:bookmarkStart w:id="28" w:name="_Toc27240"/>
      <w:r>
        <w:rPr>
          <w:rFonts w:hint="eastAsia"/>
        </w:rPr>
        <w:t>3.1.3评价周期内在滇产值（营收）完成情况：</w:t>
      </w:r>
      <w:bookmarkEnd w:id="28"/>
    </w:p>
    <w:p>
      <w:r>
        <w:rPr>
          <w:rFonts w:hint="eastAsia"/>
        </w:rPr>
        <w:t>经校验判定企业有的每个企业类型上一年度所有季度都应有产值营收季报，若有漏填的季报每个扣0.5分；</w:t>
      </w:r>
    </w:p>
    <w:p>
      <w:pPr>
        <w:pStyle w:val="4"/>
      </w:pPr>
      <w:bookmarkStart w:id="29" w:name="_Toc7921"/>
      <w:r>
        <w:rPr>
          <w:rFonts w:hint="eastAsia"/>
        </w:rPr>
        <w:t>3.1.4近五年已完工项目及在建项目信息</w:t>
      </w:r>
      <w:bookmarkEnd w:id="29"/>
    </w:p>
    <w:p>
      <w:r>
        <w:rPr>
          <w:rFonts w:hint="eastAsia"/>
        </w:rPr>
        <w:t>由主管部门人工考核。</w:t>
      </w:r>
    </w:p>
    <w:p>
      <w:pPr>
        <w:pStyle w:val="3"/>
      </w:pPr>
      <w:bookmarkStart w:id="30" w:name="_Toc20954"/>
      <w:r>
        <w:rPr>
          <w:rFonts w:hint="eastAsia"/>
        </w:rPr>
        <w:t>3.2经济指标</w:t>
      </w:r>
      <w:bookmarkEnd w:id="30"/>
    </w:p>
    <w:p>
      <w:r>
        <w:rPr>
          <w:rFonts w:hint="eastAsia"/>
        </w:rPr>
        <w:t>经济指标分为省内经济指标和省外经济指标，其中省外经济指标仅限企业注册所在地省份为云南省的企业参与，排名数据来源于企业于“诚信管理-企业产值营收填报”模块填报的企业产值/营收季报。排名为同类企业排名，如产值营收模块填报的监理的营收仅和其他监理企业营收排名，最终参与评分的省内/省外排名均取企业排名最高的企业类型的排名。</w:t>
      </w:r>
    </w:p>
    <w:p>
      <w:pPr>
        <w:pStyle w:val="3"/>
      </w:pPr>
      <w:bookmarkStart w:id="31" w:name="_Toc2368"/>
      <w:r>
        <w:rPr>
          <w:rFonts w:hint="eastAsia"/>
        </w:rPr>
        <w:t>3.3纳税等级</w:t>
      </w:r>
      <w:bookmarkEnd w:id="31"/>
    </w:p>
    <w:p>
      <w:r>
        <w:rPr>
          <w:rFonts w:hint="eastAsia"/>
        </w:rPr>
        <w:t>纳税等级指标根据企业于“诚信管理-纳税等级”模块填报的上一年度纳税等级自动计算得分。纳税信用等级为A级，得5分；纳税信用等级为B级，得4分；纳税信用等级为M级，得3分；纳税信用等级为C级，得2分；纳税信用等级为D级及无纳税信用等级评价的不得分。</w:t>
      </w:r>
    </w:p>
    <w:p>
      <w:pPr>
        <w:pStyle w:val="3"/>
      </w:pPr>
      <w:bookmarkStart w:id="32" w:name="_Toc28056"/>
      <w:r>
        <w:rPr>
          <w:rFonts w:hint="eastAsia"/>
        </w:rPr>
        <w:t>3.4信用评价</w:t>
      </w:r>
      <w:bookmarkEnd w:id="32"/>
    </w:p>
    <w:p>
      <w:r>
        <w:rPr>
          <w:rFonts w:hint="eastAsia"/>
        </w:rPr>
        <w:t>信用评价指标得分根据系统从“云南省建筑行业企业信用综合评价评级平台”（</w:t>
      </w:r>
      <w:r>
        <w:t>https://xy.ynjzjgcx.com/</w:t>
      </w:r>
      <w:r>
        <w:rPr>
          <w:rFonts w:hint="eastAsia"/>
        </w:rPr>
        <w:t>）导入的</w:t>
      </w:r>
      <w:r>
        <w:t>企业信用综合指标得分</w:t>
      </w:r>
      <w:r>
        <w:rPr>
          <w:rFonts w:hint="eastAsia"/>
        </w:rPr>
        <w:t>数据自动计算得分，指标得分=</w:t>
      </w:r>
      <w:r>
        <w:t>企业信用综合指标得分/100*6</w:t>
      </w:r>
      <w:r>
        <w:rPr>
          <w:rFonts w:hint="eastAsia"/>
        </w:rPr>
        <w:t>。</w:t>
      </w:r>
    </w:p>
    <w:p>
      <w:pPr>
        <w:pStyle w:val="3"/>
      </w:pPr>
      <w:bookmarkStart w:id="33" w:name="_Toc28707"/>
      <w:r>
        <w:rPr>
          <w:rFonts w:hint="eastAsia"/>
        </w:rPr>
        <w:t>3.5良好信息</w:t>
      </w:r>
      <w:bookmarkEnd w:id="33"/>
    </w:p>
    <w:p>
      <w:r>
        <w:rPr>
          <w:rFonts w:hint="eastAsia"/>
        </w:rPr>
        <w:t>良好信息指标得分根据企业于“诚信管理-良好信息”模块填报的各企业类型奖励日期在评分时间范围内的良好信息自动计算得分。同一项目多次获奖的，以最高奖项记录。</w:t>
      </w:r>
    </w:p>
    <w:p>
      <w:pPr>
        <w:pStyle w:val="3"/>
      </w:pPr>
      <w:bookmarkStart w:id="34" w:name="_Toc11325"/>
      <w:r>
        <w:rPr>
          <w:rFonts w:hint="eastAsia"/>
        </w:rPr>
        <w:t>3.6企业职工参保率</w:t>
      </w:r>
      <w:bookmarkEnd w:id="34"/>
    </w:p>
    <w:p>
      <w:r>
        <w:rPr>
          <w:rFonts w:hint="eastAsia"/>
        </w:rPr>
        <w:t>职工参保率指标得分根据企业于“人员管理-企业人员管理”模块登记的人员信息自动计算，职工参保率=企业职工参保人数企业/签订劳动合同总人数。Z≥90%，得5分；80≤Z&lt;90%，得4分;70%≤Z&lt;80%，得3分;60%≤Z&lt;70%，得2分；30%≤Z&lt;60%，得1分；0%≤Z＜30，得0分。</w:t>
      </w:r>
    </w:p>
    <w:p>
      <w:pPr>
        <w:pStyle w:val="3"/>
      </w:pPr>
      <w:bookmarkStart w:id="35" w:name="_Toc30065"/>
      <w:r>
        <w:rPr>
          <w:rFonts w:hint="eastAsia"/>
        </w:rPr>
        <w:t>3.7企业职工执业信息</w:t>
      </w:r>
      <w:bookmarkEnd w:id="35"/>
    </w:p>
    <w:p>
      <w:r>
        <w:rPr>
          <w:rFonts w:hint="eastAsia"/>
        </w:rPr>
        <w:t>职工参保率指标得分根据企业于“人员管理-企业人员管理”模块登记的人员的证书信息和职称信息自动计算，执业信息百分比=（企业助理级职称以上人数+企业有执业资格人数-企业既有职称又有执业资格人数）/企业签订。Z≥60%，得5分；50≤Z&lt;60%，得4分;40%≤Z&lt;50%，得3分;30%≤Z&lt;40%，得2分；Z＜30%，得1分。</w:t>
      </w:r>
    </w:p>
    <w:p>
      <w:pPr>
        <w:pStyle w:val="3"/>
      </w:pPr>
      <w:bookmarkStart w:id="36" w:name="_Toc1858"/>
      <w:r>
        <w:rPr>
          <w:rFonts w:hint="eastAsia"/>
        </w:rPr>
        <w:t>3.8不良信息</w:t>
      </w:r>
      <w:bookmarkEnd w:id="36"/>
    </w:p>
    <w:p>
      <w:r>
        <w:rPr>
          <w:rFonts w:hint="eastAsia"/>
        </w:rPr>
        <w:t>不良信息指标得分根据主管部门于“诚信管理-企业通常行为-不良信息”模块填报且审批通过的企业各企业类型的记录自动计算。</w:t>
      </w:r>
    </w:p>
    <w:p>
      <w:pPr>
        <w:pStyle w:val="3"/>
      </w:pPr>
      <w:bookmarkStart w:id="37" w:name="_Toc6068"/>
      <w:r>
        <w:rPr>
          <w:rFonts w:hint="eastAsia"/>
        </w:rPr>
        <w:t>3.9企业实施行为</w:t>
      </w:r>
      <w:bookmarkEnd w:id="37"/>
    </w:p>
    <w:p>
      <w:r>
        <w:rPr>
          <w:rFonts w:hint="eastAsia"/>
        </w:rPr>
        <w:t>企业实施行为指标得分根据主管部门于“诚信管理-企业实施行为”模块填报的企业各合同类别的项目评分信息自动计算。</w:t>
      </w:r>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E0002AFF" w:usb1="C0007843" w:usb2="00000009" w:usb3="00000000" w:csb0="400001FF" w:csb1="FFFF0000"/>
  </w:font>
  <w:font w:name="微软雅黑">
    <w:altName w:val="黑体"/>
    <w:panose1 w:val="020B0503020204020204"/>
    <w:charset w:val="00"/>
    <w:family w:val="swiss"/>
    <w:pitch w:val="default"/>
    <w:sig w:usb0="80000287" w:usb1="280F3C52" w:usb2="00000016" w:usb3="00000000" w:csb0="0004001F" w:csb1="00000000"/>
  </w:font>
  <w:font w:name="Helvetica">
    <w:altName w:val="汉仪君黑-35简"/>
    <w:panose1 w:val="020B0604020202020204"/>
    <w:charset w:val="00"/>
    <w:family w:val="swiss"/>
    <w:pitch w:val="default"/>
    <w:sig w:usb0="00000000" w:usb1="00000000" w:usb2="00000009" w:usb3="00000000" w:csb0="000001FF" w:csb1="00000000"/>
  </w:font>
  <w:font w:name="DejaVu Sans">
    <w:panose1 w:val="020B0603030804020204"/>
    <w:charset w:val="00"/>
    <w:family w:val="auto"/>
    <w:pitch w:val="default"/>
    <w:sig w:usb0="E7006EFF" w:usb1="D200FDFF" w:usb2="0A246029" w:usb3="0400200C" w:csb0="600001FF" w:csb1="DFFF0000"/>
  </w:font>
  <w:font w:name="汉仪君黑-35简">
    <w:panose1 w:val="020B0604020202020204"/>
    <w:charset w:val="86"/>
    <w:family w:val="auto"/>
    <w:pitch w:val="default"/>
    <w:sig w:usb0="A00002BF" w:usb1="0ACF7CFA" w:usb2="00000016" w:usb3="00000000" w:csb0="2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297E29"/>
    <w:multiLevelType w:val="singleLevel"/>
    <w:tmpl w:val="20297E29"/>
    <w:lvl w:ilvl="0" w:tentative="0">
      <w:start w:val="2"/>
      <w:numFmt w:val="decimal"/>
      <w:lvlText w:val="%1."/>
      <w:lvlJc w:val="left"/>
      <w:pPr>
        <w:tabs>
          <w:tab w:val="left" w:pos="312"/>
        </w:tabs>
      </w:pPr>
    </w:lvl>
  </w:abstractNum>
  <w:abstractNum w:abstractNumId="1">
    <w:nsid w:val="728A558B"/>
    <w:multiLevelType w:val="singleLevel"/>
    <w:tmpl w:val="728A558B"/>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true"/>
  <w:bordersDoNotSurroundFooter w:val="true"/>
  <w:documentProtection w:enforcement="0"/>
  <w:defaultTabStop w:val="420"/>
  <w:hyphenationZone w:val="36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225C0F"/>
    <w:rsid w:val="001B5AEC"/>
    <w:rsid w:val="00236C3C"/>
    <w:rsid w:val="002A5743"/>
    <w:rsid w:val="002C256F"/>
    <w:rsid w:val="00600441"/>
    <w:rsid w:val="00611FEA"/>
    <w:rsid w:val="006C6205"/>
    <w:rsid w:val="008200B6"/>
    <w:rsid w:val="00B22986"/>
    <w:rsid w:val="00C07EBF"/>
    <w:rsid w:val="00CE6BD2"/>
    <w:rsid w:val="00FB6354"/>
    <w:rsid w:val="01742EDC"/>
    <w:rsid w:val="01825F04"/>
    <w:rsid w:val="038E7E16"/>
    <w:rsid w:val="072E67EC"/>
    <w:rsid w:val="075B50B1"/>
    <w:rsid w:val="086523A8"/>
    <w:rsid w:val="099920CD"/>
    <w:rsid w:val="0AEF714B"/>
    <w:rsid w:val="0C7F47BD"/>
    <w:rsid w:val="0EC74213"/>
    <w:rsid w:val="11043923"/>
    <w:rsid w:val="14056930"/>
    <w:rsid w:val="18A25932"/>
    <w:rsid w:val="19B03486"/>
    <w:rsid w:val="19FB0B65"/>
    <w:rsid w:val="1BD63577"/>
    <w:rsid w:val="22225C0F"/>
    <w:rsid w:val="257A6B45"/>
    <w:rsid w:val="25B64203"/>
    <w:rsid w:val="25DD66A9"/>
    <w:rsid w:val="276133AD"/>
    <w:rsid w:val="2A1B18E9"/>
    <w:rsid w:val="2B6309DA"/>
    <w:rsid w:val="2C7B76EA"/>
    <w:rsid w:val="2FC47FF6"/>
    <w:rsid w:val="36551E9E"/>
    <w:rsid w:val="36610DBE"/>
    <w:rsid w:val="377812BD"/>
    <w:rsid w:val="381D3D9F"/>
    <w:rsid w:val="38F73B98"/>
    <w:rsid w:val="40216321"/>
    <w:rsid w:val="416D5697"/>
    <w:rsid w:val="46B14B5B"/>
    <w:rsid w:val="47E31CDE"/>
    <w:rsid w:val="484A6661"/>
    <w:rsid w:val="4EE90B1C"/>
    <w:rsid w:val="51B1325F"/>
    <w:rsid w:val="53CA25AA"/>
    <w:rsid w:val="576B309F"/>
    <w:rsid w:val="5AC22BBB"/>
    <w:rsid w:val="5ACA3AEB"/>
    <w:rsid w:val="601A1279"/>
    <w:rsid w:val="653723AF"/>
    <w:rsid w:val="687B3767"/>
    <w:rsid w:val="6AC97E69"/>
    <w:rsid w:val="6B8954DC"/>
    <w:rsid w:val="6DE25C7C"/>
    <w:rsid w:val="6EB42852"/>
    <w:rsid w:val="71A673C5"/>
    <w:rsid w:val="776F7AF4"/>
    <w:rsid w:val="E5BF9D31"/>
    <w:rsid w:val="EE7BD6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3">
    <w:name w:val="Default Paragraph Font"/>
    <w:unhideWhenUsed/>
    <w:qFormat/>
    <w:uiPriority w:val="1"/>
  </w:style>
  <w:style w:type="table" w:default="1" w:styleId="12">
    <w:name w:val="Normal Table"/>
    <w:unhideWhenUsed/>
    <w:qFormat/>
    <w:uiPriority w:val="99"/>
    <w:tblPr>
      <w:tblStyle w:val="12"/>
      <w:tblCellMar>
        <w:top w:w="0" w:type="dxa"/>
        <w:left w:w="108" w:type="dxa"/>
        <w:bottom w:w="0" w:type="dxa"/>
        <w:right w:w="108" w:type="dxa"/>
      </w:tblCellMar>
    </w:tblPr>
  </w:style>
  <w:style w:type="paragraph" w:styleId="7">
    <w:name w:val="toc 3"/>
    <w:basedOn w:val="1"/>
    <w:next w:val="1"/>
    <w:unhideWhenUsed/>
    <w:qFormat/>
    <w:uiPriority w:val="39"/>
    <w:pPr>
      <w:ind w:left="840" w:leftChars="400"/>
    </w:pPr>
  </w:style>
  <w:style w:type="paragraph" w:styleId="8">
    <w:name w:val="footer"/>
    <w:basedOn w:val="1"/>
    <w:link w:val="16"/>
    <w:qFormat/>
    <w:uiPriority w:val="0"/>
    <w:pPr>
      <w:tabs>
        <w:tab w:val="center" w:pos="4153"/>
        <w:tab w:val="right" w:pos="8306"/>
      </w:tabs>
      <w:snapToGrid w:val="0"/>
      <w:jc w:val="left"/>
    </w:pPr>
    <w:rPr>
      <w:sz w:val="18"/>
      <w:szCs w:val="18"/>
    </w:rPr>
  </w:style>
  <w:style w:type="paragraph" w:styleId="9">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spacing w:after="100"/>
    </w:pPr>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u w:val="single"/>
    </w:rPr>
  </w:style>
  <w:style w:type="character" w:customStyle="1" w:styleId="15">
    <w:name w:val="页眉 字符"/>
    <w:basedOn w:val="13"/>
    <w:link w:val="9"/>
    <w:qFormat/>
    <w:uiPriority w:val="0"/>
    <w:rPr>
      <w:rFonts w:ascii="Calibri" w:hAnsi="Calibri" w:eastAsia="宋体" w:cs="Times New Roman"/>
      <w:kern w:val="2"/>
      <w:sz w:val="18"/>
      <w:szCs w:val="18"/>
    </w:rPr>
  </w:style>
  <w:style w:type="character" w:customStyle="1" w:styleId="16">
    <w:name w:val="页脚 字符"/>
    <w:basedOn w:val="13"/>
    <w:link w:val="8"/>
    <w:qFormat/>
    <w:uiPriority w:val="0"/>
    <w:rPr>
      <w:rFonts w:ascii="Calibri" w:hAnsi="Calibri" w:eastAsia="宋体" w:cs="Times New Roman"/>
      <w:kern w:val="2"/>
      <w:sz w:val="18"/>
      <w:szCs w:val="18"/>
    </w:r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0" Type="http://schemas.openxmlformats.org/officeDocument/2006/relationships/fontTable" Target="fontTable.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1458</Words>
  <Characters>8316</Characters>
  <Lines>69</Lines>
  <Paragraphs>19</Paragraphs>
  <TotalTime>17</TotalTime>
  <ScaleCrop>false</ScaleCrop>
  <LinksUpToDate>false</LinksUpToDate>
  <CharactersWithSpaces>9755</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2021-05-28T19:10:00Z</dcterms:created>
  <dc:creator>时光如酒是故人</dc:creator>
  <cp:lastModifiedBy>Maximilian</cp:lastModifiedBy>
  <cp:lastPrinted>2021-11-23T17:34:00Z</cp:lastPrinted>
  <dcterms:modified xsi:type="dcterms:W3CDTF">2021-12-24T13:39:56Z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83A021FC48F846ABB668E5CDB0A571A0</vt:lpwstr>
  </property>
</Properties>
</file>